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5FAB3E" w14:textId="693AC956" w:rsidR="00086A51" w:rsidRDefault="00D93764" w:rsidP="00086A51">
      <w:pPr>
        <w:pStyle w:val="AbstractTitle"/>
        <w:spacing w:before="0"/>
        <w:rPr>
          <w:lang w:val="en-GB"/>
        </w:rPr>
      </w:pPr>
      <w:r>
        <w:rPr>
          <w:lang w:val="en-GB"/>
        </w:rPr>
        <w:t>School Furniture</w:t>
      </w:r>
      <w:r w:rsidR="008B4AEC">
        <w:rPr>
          <w:lang w:val="en-GB"/>
        </w:rPr>
        <w:t xml:space="preserve"> </w:t>
      </w:r>
      <w:r>
        <w:rPr>
          <w:lang w:val="en-GB"/>
        </w:rPr>
        <w:t>as a Risk Factor</w:t>
      </w:r>
      <w:r w:rsidR="00BC2208">
        <w:rPr>
          <w:lang w:val="en-GB"/>
        </w:rPr>
        <w:t xml:space="preserve"> for Musculoskeletal Pain among </w:t>
      </w:r>
    </w:p>
    <w:p w14:paraId="62FDADDF" w14:textId="5A1832BF" w:rsidR="00B57FD3" w:rsidRPr="00CA258B" w:rsidRDefault="00086A51" w:rsidP="00086A51">
      <w:pPr>
        <w:pStyle w:val="AbstractTitle"/>
        <w:spacing w:before="0"/>
        <w:rPr>
          <w:bCs/>
          <w:lang w:val="en-GB"/>
        </w:rPr>
      </w:pPr>
      <w:r>
        <w:rPr>
          <w:lang w:val="en-GB"/>
        </w:rPr>
        <w:t xml:space="preserve">Slovenian </w:t>
      </w:r>
      <w:r w:rsidR="00BC2208">
        <w:rPr>
          <w:lang w:val="en-GB"/>
        </w:rPr>
        <w:t>Students</w:t>
      </w:r>
      <w:bookmarkStart w:id="0" w:name="_GoBack"/>
      <w:bookmarkEnd w:id="0"/>
    </w:p>
    <w:p w14:paraId="39041DED" w14:textId="77777777" w:rsidR="00B57FD3" w:rsidRPr="00CA258B" w:rsidRDefault="00B57FD3">
      <w:pPr>
        <w:pStyle w:val="Author"/>
        <w:spacing w:before="0"/>
        <w:rPr>
          <w:lang w:val="en-GB"/>
        </w:rPr>
      </w:pPr>
    </w:p>
    <w:p w14:paraId="6DFCE5BC" w14:textId="4D104D38" w:rsidR="00B57FD3" w:rsidRPr="0053799E" w:rsidRDefault="0053799E">
      <w:pPr>
        <w:pStyle w:val="Author"/>
        <w:spacing w:before="0"/>
        <w:rPr>
          <w:b w:val="0"/>
          <w:lang w:val="en-GB"/>
        </w:rPr>
      </w:pPr>
      <w:r>
        <w:rPr>
          <w:lang w:val="en-GB"/>
        </w:rPr>
        <w:t>N. Podrekar</w:t>
      </w:r>
      <w:r w:rsidR="00F17B89" w:rsidRPr="00CA258B">
        <w:rPr>
          <w:b w:val="0"/>
          <w:vertAlign w:val="superscript"/>
          <w:lang w:val="en-GB"/>
        </w:rPr>
        <w:t>1</w:t>
      </w:r>
      <w:r w:rsidR="00F561BF">
        <w:rPr>
          <w:b w:val="0"/>
          <w:vertAlign w:val="superscript"/>
          <w:lang w:val="en-GB"/>
        </w:rPr>
        <w:t>,2</w:t>
      </w:r>
      <w:r w:rsidR="00C141DE" w:rsidRPr="00CA258B">
        <w:rPr>
          <w:b w:val="0"/>
          <w:vertAlign w:val="superscript"/>
          <w:lang w:val="en-GB"/>
        </w:rPr>
        <w:t>*</w:t>
      </w:r>
      <w:r w:rsidR="00F17B89" w:rsidRPr="00CA258B">
        <w:rPr>
          <w:lang w:val="en-GB"/>
        </w:rPr>
        <w:t xml:space="preserve">, </w:t>
      </w:r>
      <w:r>
        <w:rPr>
          <w:lang w:val="en-GB"/>
        </w:rPr>
        <w:t>M. Burnard</w:t>
      </w:r>
      <w:r w:rsidR="00A03C65">
        <w:rPr>
          <w:b w:val="0"/>
          <w:vertAlign w:val="superscript"/>
          <w:lang w:val="en-GB"/>
        </w:rPr>
        <w:t>1,3</w:t>
      </w:r>
      <w:r>
        <w:rPr>
          <w:b w:val="0"/>
          <w:vertAlign w:val="superscript"/>
          <w:lang w:val="en-GB"/>
        </w:rPr>
        <w:t xml:space="preserve"> </w:t>
      </w:r>
      <w:r w:rsidRPr="0053799E">
        <w:rPr>
          <w:lang w:val="en-GB"/>
        </w:rPr>
        <w:t>N. Šarabon</w:t>
      </w:r>
      <w:r w:rsidR="00A03C65" w:rsidRPr="00A03C65">
        <w:rPr>
          <w:b w:val="0"/>
          <w:vertAlign w:val="superscript"/>
          <w:lang w:val="en-GB"/>
        </w:rPr>
        <w:t>2</w:t>
      </w:r>
    </w:p>
    <w:p w14:paraId="1A0658EE" w14:textId="77777777" w:rsidR="00B57FD3" w:rsidRPr="00CA258B" w:rsidRDefault="00B57FD3">
      <w:pPr>
        <w:pStyle w:val="Author"/>
        <w:spacing w:before="0"/>
        <w:rPr>
          <w:b w:val="0"/>
          <w:vertAlign w:val="superscript"/>
          <w:lang w:val="en-GB"/>
        </w:rPr>
      </w:pPr>
    </w:p>
    <w:p w14:paraId="008E7137" w14:textId="1E4B8567"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proofErr w:type="spellStart"/>
      <w:r w:rsidR="00F561BF">
        <w:rPr>
          <w:szCs w:val="22"/>
          <w:lang w:val="en-GB"/>
        </w:rPr>
        <w:t>InnoRenew</w:t>
      </w:r>
      <w:proofErr w:type="spellEnd"/>
      <w:r w:rsidR="00F561BF">
        <w:rPr>
          <w:szCs w:val="22"/>
          <w:lang w:val="en-GB"/>
        </w:rPr>
        <w:t xml:space="preserve"> </w:t>
      </w:r>
      <w:proofErr w:type="spellStart"/>
      <w:r w:rsidR="00F561BF">
        <w:rPr>
          <w:szCs w:val="22"/>
          <w:lang w:val="en-GB"/>
        </w:rPr>
        <w:t>CoE</w:t>
      </w:r>
      <w:proofErr w:type="spellEnd"/>
      <w:r w:rsidRPr="00CA258B">
        <w:rPr>
          <w:lang w:val="en-GB"/>
        </w:rPr>
        <w:t xml:space="preserve">, </w:t>
      </w:r>
      <w:proofErr w:type="spellStart"/>
      <w:r w:rsidR="00F561BF">
        <w:rPr>
          <w:szCs w:val="22"/>
          <w:lang w:val="en-GB"/>
        </w:rPr>
        <w:t>Livade</w:t>
      </w:r>
      <w:proofErr w:type="spellEnd"/>
      <w:r w:rsidR="00F561BF">
        <w:rPr>
          <w:szCs w:val="22"/>
          <w:lang w:val="en-GB"/>
        </w:rPr>
        <w:t xml:space="preserve"> 6</w:t>
      </w:r>
      <w:r w:rsidR="00A03C65">
        <w:rPr>
          <w:szCs w:val="22"/>
          <w:lang w:val="en-GB"/>
        </w:rPr>
        <w:t xml:space="preserve"> 6310 Izola</w:t>
      </w:r>
      <w:r w:rsidR="00C141DE" w:rsidRPr="00CA258B">
        <w:rPr>
          <w:szCs w:val="22"/>
          <w:lang w:val="en-GB"/>
        </w:rPr>
        <w:t xml:space="preserve">, </w:t>
      </w:r>
      <w:r w:rsidR="00A03C65">
        <w:rPr>
          <w:szCs w:val="22"/>
          <w:lang w:val="en-GB"/>
        </w:rPr>
        <w:t>nastja.podrekar@innorenew.eu</w:t>
      </w:r>
    </w:p>
    <w:p w14:paraId="15C781B5" w14:textId="0A5DECEA" w:rsidR="00A03C65" w:rsidRDefault="00F17B89" w:rsidP="00C141DE">
      <w:pPr>
        <w:pStyle w:val="Affiliation"/>
        <w:spacing w:before="0"/>
        <w:rPr>
          <w:szCs w:val="22"/>
          <w:lang w:val="en-GB"/>
        </w:rPr>
      </w:pPr>
      <w:r w:rsidRPr="00CA258B">
        <w:rPr>
          <w:vertAlign w:val="superscript"/>
          <w:lang w:val="en-GB"/>
        </w:rPr>
        <w:t xml:space="preserve">2 </w:t>
      </w:r>
      <w:r w:rsidR="00A03C65">
        <w:rPr>
          <w:szCs w:val="22"/>
          <w:lang w:val="en-GB"/>
        </w:rPr>
        <w:t>Faculty of Health Sciences</w:t>
      </w:r>
      <w:r w:rsidRPr="00CA258B">
        <w:rPr>
          <w:szCs w:val="22"/>
          <w:lang w:val="en-GB"/>
        </w:rPr>
        <w:t>,</w:t>
      </w:r>
      <w:r w:rsidR="00A03C65">
        <w:rPr>
          <w:szCs w:val="22"/>
          <w:lang w:val="en-GB"/>
        </w:rPr>
        <w:t xml:space="preserve"> </w:t>
      </w:r>
      <w:proofErr w:type="spellStart"/>
      <w:r w:rsidR="00A03C65">
        <w:rPr>
          <w:szCs w:val="22"/>
          <w:lang w:val="en-GB"/>
        </w:rPr>
        <w:t>Universtiy</w:t>
      </w:r>
      <w:proofErr w:type="spellEnd"/>
      <w:r w:rsidR="00A03C65">
        <w:rPr>
          <w:szCs w:val="22"/>
          <w:lang w:val="en-GB"/>
        </w:rPr>
        <w:t xml:space="preserve"> of </w:t>
      </w:r>
      <w:proofErr w:type="spellStart"/>
      <w:r w:rsidR="00A03C65">
        <w:rPr>
          <w:szCs w:val="22"/>
          <w:lang w:val="en-GB"/>
        </w:rPr>
        <w:t>Primorska</w:t>
      </w:r>
      <w:proofErr w:type="spellEnd"/>
      <w:r w:rsidR="00A03C65">
        <w:rPr>
          <w:szCs w:val="22"/>
          <w:lang w:val="en-GB"/>
        </w:rPr>
        <w:t>, Polje 42, 6310 Izola</w:t>
      </w:r>
      <w:r w:rsidR="00A11EE2">
        <w:rPr>
          <w:szCs w:val="22"/>
          <w:lang w:val="en-GB"/>
        </w:rPr>
        <w:t>, nejc.sarabon@fvz.ups.si</w:t>
      </w:r>
      <w:r w:rsidRPr="00CA258B">
        <w:rPr>
          <w:szCs w:val="22"/>
          <w:lang w:val="en-GB"/>
        </w:rPr>
        <w:t xml:space="preserve"> </w:t>
      </w:r>
    </w:p>
    <w:p w14:paraId="7399FAC8" w14:textId="7DA13EEF" w:rsidR="00B57FD3" w:rsidRPr="00CA258B" w:rsidRDefault="00A11EE2" w:rsidP="00C141DE">
      <w:pPr>
        <w:pStyle w:val="Affiliation"/>
        <w:spacing w:before="0"/>
        <w:rPr>
          <w:lang w:val="en-GB"/>
        </w:rPr>
      </w:pPr>
      <w:r w:rsidRPr="00A11EE2">
        <w:rPr>
          <w:szCs w:val="22"/>
          <w:vertAlign w:val="superscript"/>
          <w:lang w:val="en-GB"/>
        </w:rPr>
        <w:t>3</w:t>
      </w:r>
      <w:r w:rsidR="00A03C65">
        <w:rPr>
          <w:szCs w:val="22"/>
          <w:lang w:val="en-GB"/>
        </w:rPr>
        <w:t xml:space="preserve">Andrej </w:t>
      </w:r>
      <w:proofErr w:type="spellStart"/>
      <w:r w:rsidR="00A03C65">
        <w:rPr>
          <w:szCs w:val="22"/>
          <w:lang w:val="en-GB"/>
        </w:rPr>
        <w:t>Marusic</w:t>
      </w:r>
      <w:proofErr w:type="spellEnd"/>
      <w:r w:rsidR="00A03C65">
        <w:rPr>
          <w:szCs w:val="22"/>
          <w:lang w:val="en-GB"/>
        </w:rPr>
        <w:t xml:space="preserve"> </w:t>
      </w:r>
      <w:proofErr w:type="spellStart"/>
      <w:r w:rsidR="00A03C65">
        <w:rPr>
          <w:szCs w:val="22"/>
          <w:lang w:val="en-GB"/>
        </w:rPr>
        <w:t>Institure</w:t>
      </w:r>
      <w:proofErr w:type="spellEnd"/>
      <w:r w:rsidR="00A03C65">
        <w:rPr>
          <w:szCs w:val="22"/>
          <w:lang w:val="en-GB"/>
        </w:rPr>
        <w:t xml:space="preserve">, University of </w:t>
      </w:r>
      <w:proofErr w:type="spellStart"/>
      <w:r w:rsidR="00A03C65">
        <w:rPr>
          <w:szCs w:val="22"/>
          <w:lang w:val="en-GB"/>
        </w:rPr>
        <w:t>Primorska</w:t>
      </w:r>
      <w:proofErr w:type="spellEnd"/>
      <w:r w:rsidR="00A03C65">
        <w:rPr>
          <w:szCs w:val="22"/>
          <w:lang w:val="en-GB"/>
        </w:rPr>
        <w:t xml:space="preserve">, </w:t>
      </w:r>
      <w:proofErr w:type="spellStart"/>
      <w:r w:rsidR="00A908C1" w:rsidRPr="00A908C1">
        <w:rPr>
          <w:szCs w:val="22"/>
          <w:lang w:val="en-GB"/>
        </w:rPr>
        <w:t>Muzejski</w:t>
      </w:r>
      <w:proofErr w:type="spellEnd"/>
      <w:r w:rsidR="00A908C1" w:rsidRPr="00A908C1">
        <w:rPr>
          <w:szCs w:val="22"/>
          <w:lang w:val="en-GB"/>
        </w:rPr>
        <w:t xml:space="preserve"> </w:t>
      </w:r>
      <w:proofErr w:type="spellStart"/>
      <w:r w:rsidR="00A908C1" w:rsidRPr="00A908C1">
        <w:rPr>
          <w:szCs w:val="22"/>
          <w:lang w:val="en-GB"/>
        </w:rPr>
        <w:t>trg</w:t>
      </w:r>
      <w:proofErr w:type="spellEnd"/>
      <w:r w:rsidR="00A908C1" w:rsidRPr="00A908C1">
        <w:rPr>
          <w:szCs w:val="22"/>
          <w:lang w:val="en-GB"/>
        </w:rPr>
        <w:t xml:space="preserve"> 2</w:t>
      </w:r>
      <w:r w:rsidR="00A908C1">
        <w:rPr>
          <w:szCs w:val="22"/>
          <w:lang w:val="en-GB"/>
        </w:rPr>
        <w:t xml:space="preserve">, 6000 Koper, </w:t>
      </w:r>
      <w:r w:rsidRPr="00A11EE2">
        <w:rPr>
          <w:szCs w:val="22"/>
          <w:lang w:val="en-GB"/>
        </w:rPr>
        <w:t>mike.burnard@innorenew.eu</w:t>
      </w:r>
    </w:p>
    <w:p w14:paraId="57B61E8B" w14:textId="77777777" w:rsidR="00E12AA5" w:rsidRDefault="00E12AA5" w:rsidP="00635FC8">
      <w:pPr>
        <w:spacing w:after="160" w:line="256" w:lineRule="auto"/>
        <w:jc w:val="both"/>
        <w:rPr>
          <w:lang w:val="en-GB"/>
        </w:rPr>
      </w:pPr>
    </w:p>
    <w:p w14:paraId="7F185320" w14:textId="4BEC5BCF" w:rsidR="00C56051" w:rsidRDefault="00252912" w:rsidP="00EB294C">
      <w:pPr>
        <w:spacing w:after="160" w:line="256" w:lineRule="auto"/>
        <w:jc w:val="both"/>
      </w:pPr>
      <w:r w:rsidRPr="00107D66">
        <w:rPr>
          <w:lang w:val="en-GB"/>
        </w:rPr>
        <w:t xml:space="preserve">The very first environment where a human is exposed to long term sitting is school environment. </w:t>
      </w:r>
      <w:r w:rsidR="006C7563">
        <w:rPr>
          <w:lang w:val="en-GB"/>
        </w:rPr>
        <w:t xml:space="preserve">School </w:t>
      </w:r>
      <w:r w:rsidR="00205229">
        <w:rPr>
          <w:lang w:val="en-GB"/>
        </w:rPr>
        <w:t xml:space="preserve">furniture could be one of the external risk factors for musculoskeletal pain among </w:t>
      </w:r>
      <w:r w:rsidR="0053799E">
        <w:rPr>
          <w:lang w:val="en-GB"/>
        </w:rPr>
        <w:t>students</w:t>
      </w:r>
      <w:r w:rsidR="00205229">
        <w:rPr>
          <w:lang w:val="en-GB"/>
        </w:rPr>
        <w:t xml:space="preserve">. </w:t>
      </w:r>
      <w:r w:rsidR="008C729A">
        <w:rPr>
          <w:lang w:val="en-GB"/>
        </w:rPr>
        <w:t>The aim of t</w:t>
      </w:r>
      <w:r w:rsidR="008B4E58">
        <w:rPr>
          <w:lang w:val="en-GB"/>
        </w:rPr>
        <w:t>his</w:t>
      </w:r>
      <w:r w:rsidR="008C729A">
        <w:rPr>
          <w:lang w:val="en-GB"/>
        </w:rPr>
        <w:t xml:space="preserve"> study was to </w:t>
      </w:r>
      <w:r w:rsidR="00AC49F1">
        <w:rPr>
          <w:lang w:val="en-GB"/>
        </w:rPr>
        <w:t xml:space="preserve">evaluate school furniture as a risk factor for musculoskeletal pain among Slovenian students. </w:t>
      </w:r>
      <w:r w:rsidR="00205229">
        <w:rPr>
          <w:lang w:val="en-GB"/>
        </w:rPr>
        <w:t xml:space="preserve">The </w:t>
      </w:r>
      <w:r w:rsidR="00CB3C1D">
        <w:rPr>
          <w:lang w:val="en-GB"/>
        </w:rPr>
        <w:t>study was divided into two parts. F</w:t>
      </w:r>
      <w:r w:rsidR="00B8403B">
        <w:rPr>
          <w:lang w:val="en-GB"/>
        </w:rPr>
        <w:t>irstly</w:t>
      </w:r>
      <w:r w:rsidR="00435EA5">
        <w:rPr>
          <w:lang w:val="en-GB"/>
        </w:rPr>
        <w:t>,</w:t>
      </w:r>
      <w:r w:rsidR="00B8403B">
        <w:rPr>
          <w:lang w:val="en-GB"/>
        </w:rPr>
        <w:t xml:space="preserve"> </w:t>
      </w:r>
      <w:r w:rsidR="00CB3C1D">
        <w:rPr>
          <w:lang w:val="en-GB"/>
        </w:rPr>
        <w:t>a</w:t>
      </w:r>
      <w:r w:rsidR="00205229">
        <w:rPr>
          <w:lang w:val="en-GB"/>
        </w:rPr>
        <w:t xml:space="preserve"> review </w:t>
      </w:r>
      <w:r w:rsidR="00435EA5">
        <w:rPr>
          <w:lang w:val="en-GB"/>
        </w:rPr>
        <w:t>regarding the student-furniture mismatch</w:t>
      </w:r>
      <w:r w:rsidR="00435EA5">
        <w:rPr>
          <w:lang w:val="en-GB"/>
        </w:rPr>
        <w:t xml:space="preserve"> </w:t>
      </w:r>
      <w:r w:rsidR="00CB3C1D">
        <w:rPr>
          <w:lang w:val="en-GB"/>
        </w:rPr>
        <w:t>was conducted</w:t>
      </w:r>
      <w:r w:rsidR="00721A88">
        <w:rPr>
          <w:lang w:val="en-GB"/>
        </w:rPr>
        <w:t xml:space="preserve">. </w:t>
      </w:r>
      <w:r w:rsidR="00435EA5">
        <w:rPr>
          <w:lang w:val="en-GB"/>
        </w:rPr>
        <w:t xml:space="preserve">Secondly, </w:t>
      </w:r>
      <w:r w:rsidR="00435EA5">
        <w:rPr>
          <w:lang w:val="en-GB"/>
        </w:rPr>
        <w:t>student-furniture mismatch in Slovenian schools</w:t>
      </w:r>
      <w:r w:rsidR="00435EA5">
        <w:rPr>
          <w:lang w:val="en-GB"/>
        </w:rPr>
        <w:t xml:space="preserve"> </w:t>
      </w:r>
      <w:r w:rsidR="004D1BC6">
        <w:rPr>
          <w:lang w:val="en-GB"/>
        </w:rPr>
        <w:t xml:space="preserve">was calculated </w:t>
      </w:r>
      <w:r w:rsidR="00542698">
        <w:rPr>
          <w:lang w:val="en-GB"/>
        </w:rPr>
        <w:t xml:space="preserve">and </w:t>
      </w:r>
      <w:r w:rsidR="00DF7798">
        <w:rPr>
          <w:lang w:val="en-GB"/>
        </w:rPr>
        <w:t xml:space="preserve">correlation between the mismatch and musculoskeletal pain </w:t>
      </w:r>
      <w:r w:rsidR="004D1BC6">
        <w:rPr>
          <w:lang w:val="en-GB"/>
        </w:rPr>
        <w:t xml:space="preserve">was </w:t>
      </w:r>
      <w:r w:rsidR="0041102F">
        <w:rPr>
          <w:lang w:val="en-GB"/>
        </w:rPr>
        <w:t>evaluated</w:t>
      </w:r>
      <w:r w:rsidR="008B4E58">
        <w:rPr>
          <w:lang w:val="en-GB"/>
        </w:rPr>
        <w:t xml:space="preserve">. </w:t>
      </w:r>
      <w:r w:rsidR="00C66DEA">
        <w:rPr>
          <w:lang w:val="en-GB"/>
        </w:rPr>
        <w:t xml:space="preserve">Students </w:t>
      </w:r>
      <w:r w:rsidR="00EB294C">
        <w:rPr>
          <w:lang w:val="en-GB"/>
        </w:rPr>
        <w:t>from</w:t>
      </w:r>
      <w:r w:rsidR="00C66DEA">
        <w:rPr>
          <w:lang w:val="en-GB"/>
        </w:rPr>
        <w:t xml:space="preserve"> primary and secondary school</w:t>
      </w:r>
      <w:r w:rsidR="00FD1CAB">
        <w:rPr>
          <w:lang w:val="en-GB"/>
        </w:rPr>
        <w:t>,</w:t>
      </w:r>
      <w:r w:rsidR="00C66DEA">
        <w:rPr>
          <w:lang w:val="en-GB"/>
        </w:rPr>
        <w:t xml:space="preserve"> </w:t>
      </w:r>
      <w:r w:rsidR="001D6EC7">
        <w:rPr>
          <w:lang w:val="en-GB"/>
        </w:rPr>
        <w:t>and</w:t>
      </w:r>
      <w:r w:rsidR="00EB294C">
        <w:rPr>
          <w:lang w:val="en-GB"/>
        </w:rPr>
        <w:t xml:space="preserve"> from </w:t>
      </w:r>
      <w:r w:rsidR="00887F31">
        <w:rPr>
          <w:lang w:val="en-GB"/>
        </w:rPr>
        <w:t>higher educational programs</w:t>
      </w:r>
      <w:r w:rsidR="00EB294C">
        <w:rPr>
          <w:lang w:val="en-GB"/>
        </w:rPr>
        <w:t xml:space="preserve"> </w:t>
      </w:r>
      <w:r w:rsidR="00FD1CAB">
        <w:rPr>
          <w:lang w:val="en-GB"/>
        </w:rPr>
        <w:t xml:space="preserve">were included in the study. </w:t>
      </w:r>
      <w:r w:rsidR="00EB294C">
        <w:t>To calculate the mismatch, eight anthropometric measures (popliteal height, knee height, thigh thickness, elbow height sitting, shoulder height sitting, subscapular height, hip width, buttock-popli</w:t>
      </w:r>
      <w:r w:rsidR="00EB294C" w:rsidRPr="008C1D73">
        <w:t>t</w:t>
      </w:r>
      <w:r w:rsidR="00EB294C">
        <w:t>e</w:t>
      </w:r>
      <w:r w:rsidR="00EB294C" w:rsidRPr="008C1D73">
        <w:t>al length</w:t>
      </w:r>
      <w:r w:rsidR="00EB294C">
        <w:t xml:space="preserve">) and </w:t>
      </w:r>
      <w:r w:rsidR="001D6EC7">
        <w:t>s</w:t>
      </w:r>
      <w:r w:rsidR="008B4E58">
        <w:t>i</w:t>
      </w:r>
      <w:r w:rsidR="00E60E3E">
        <w:t>x</w:t>
      </w:r>
      <w:r w:rsidR="00EB294C">
        <w:t xml:space="preserve"> furniture dimensions (seat height, seat depth, seat width, </w:t>
      </w:r>
      <w:r w:rsidR="001D6EC7">
        <w:t xml:space="preserve">seat inclination, </w:t>
      </w:r>
      <w:r w:rsidR="00EB294C">
        <w:t>upper edge of backrest, sitting desk clearance) were measured.</w:t>
      </w:r>
      <w:r w:rsidR="001D6EC7">
        <w:t xml:space="preserve"> </w:t>
      </w:r>
      <w:r w:rsidR="00DF7798">
        <w:t xml:space="preserve">Additionally, students </w:t>
      </w:r>
      <w:r w:rsidR="007D4DF6">
        <w:t>completed</w:t>
      </w:r>
      <w:r w:rsidR="00627F10">
        <w:t xml:space="preserve"> the Nordic Musculoskeletal </w:t>
      </w:r>
      <w:r w:rsidR="009B0D7C">
        <w:t>Q</w:t>
      </w:r>
      <w:r w:rsidR="00627F10">
        <w:t>uestio</w:t>
      </w:r>
      <w:r w:rsidR="00C71A7C">
        <w:t xml:space="preserve">nnaire. </w:t>
      </w:r>
      <w:r w:rsidR="001D6EC7">
        <w:t xml:space="preserve">The results </w:t>
      </w:r>
      <w:r w:rsidR="00E3581B">
        <w:t xml:space="preserve">of the </w:t>
      </w:r>
      <w:r w:rsidR="008B4E58">
        <w:t>literature review</w:t>
      </w:r>
      <w:r w:rsidR="00E3581B">
        <w:t xml:space="preserve"> indicate a high student-furniture mismatch among the existing stud</w:t>
      </w:r>
      <w:r w:rsidR="000252C5">
        <w:t>ies</w:t>
      </w:r>
      <w:r w:rsidR="002703B1">
        <w:t xml:space="preserve">, ranging from </w:t>
      </w:r>
      <w:r w:rsidR="00F7370B">
        <w:t xml:space="preserve">30% </w:t>
      </w:r>
      <w:r w:rsidR="002703B1">
        <w:t xml:space="preserve">to </w:t>
      </w:r>
      <w:r w:rsidR="00B652BA">
        <w:t xml:space="preserve">90 </w:t>
      </w:r>
      <w:r w:rsidR="002703B1">
        <w:t>%</w:t>
      </w:r>
      <w:r w:rsidR="00B652BA">
        <w:t xml:space="preserve"> </w:t>
      </w:r>
      <w:r w:rsidR="00F50F7F">
        <w:fldChar w:fldCharType="begin" w:fldLock="1"/>
      </w:r>
      <w:r w:rsidR="004325E0">
        <w:instrText>ADDIN CSL_CITATION {"citationItems":[{"id":"ITEM-1","itemData":{"DOI":"10.1016/j.apergo.2012.09.008","ISSN":"00036870","PMID":"23141959","abstract":"STUDY DESIGN Descriptive study. OBJECTIVE The objective of this study was to present anthropometric data from high school students in Cape Metropole area, Western Cape, South Africa that are relevant for chair design and whether the dimensions of computer laboratory chairs currently used in high schools match linear anthropometrics of high-school students. Summary of Background Data. Learner-chair mismatch is proposed as a cause of poor postural alignment and spinal pain in adolescents. A learner-chair mismatch is defined as the incompatibility between the dimensions of a chair and the anthropometric dimensions of the learner. Currently, there is no published research to ascertain whether the furniture dimensions in school computer laboratories match the anthropometrics of the students. This may contribute to the high prevalence of adolescent spinal pain. METHODS The sample consisted of 689 learners, 13-18 years old. The following body dimensions were measured: stature, popliteal height, buttock-to-popliteal length and hip width. These measurements were matched with the corresponding chair seat dimensions: height, depth and width. Popliteal and seat height mismatch was defined when the seat height is either &gt;95% or &lt;88% of the popliteal height. Buttock-popliteal length and seat depth mismatch was defined when the seat depth is either &gt;95% or &lt;80% of the buttock-popliteal length. Seat width mismatch is defined where the seat width should be at least 10% and at the most 30% larger than hip width. RESULTS An 89% of learners did not match the seat. Five percent of learners matched the chair depth, the majority was found to be too big. In contrast, 65% of the learners matched the chair width dimension. CONCLUSIONS A substantial mismatch was found. The school chairs failed standard ergonomics recommendations for the design of furniture to fit the user. This study supports the conclusion that there is no one-size-fits-all solution. There is an urgent need for chairs that are of different sizes or that are adjustable.","author":[{"dropping-particle":"","family":"Niekerk","given":"Sjan-Mari","non-dropping-particle":"van","parse-names":false,"suffix":""},{"dropping-particle":"","family":"Louw","given":"Quinette Abigail","non-dropping-particle":"","parse-names":false,"suffix":""},{"dropping-particle":"","family":"Grimmer-Somers","given":"Karen","non-dropping-particle":"","parse-names":false,"suffix":""},{"dropping-particle":"","family":"Harvey","given":"Justin","non-dropping-particle":"","parse-names":false,"suffix":""},{"dropping-particle":"","family":"Hendry","given":"Kevan John","non-dropping-particle":"","parse-names":false,"suffix":""}],"container-title":"Applied Ergonomics","id":"ITEM-1","issue":"3","issued":{"date-parts":[["2013","5"]]},"page":"366-371","title":"The anthropometric match between high school learners of the Cape Metropole area, Western Cape, South Africa and their computer workstation at school","type":"article-journal","volume":"44"},"uris":["http://www.mendeley.com/documents/?uuid=556618a8-a0a3-31ff-b2cd-849443a807be"]},{"id":"ITEM-2","itemData":{"DOI":"10.3233/WOR-2012-0770-4817","PMID":"22317463","abstract":"The aim of this study was to evaluate how the fixed furniture dimensions match with students' anthropometry and to describe head, upper back and upper limbs postures and movements. Evaluation was performed in 48 students from a Brazilian state school. Furniture dimensions were measured with metric tape, movements and postures by inclinometers (Logger Tecknologi, Åkarp, Sweden). Seat height was high for 21% and low for 36% of the students; seat length was short for 45% and long for 9% and table height was high for 53% and low for 28%. Regression analysis showed that seat/popliteal height quotient is explained by 90th percentile of upper back inclination (β=0.410) and 90th percentile of right upper arm elevation (β=-0.293). For seat/thigh length quotient the significant variables were 90th percentile of upper back velocity (β=-0.282) and 90th percentile of right upper arm elevation (β=0.410). This study showed a relationship between furniture mismatch and postural overload. When the seat height is low students increase upper back left inclination and right upper arm elevation; when the seat is short students decrease the upper back flexion velocity and increase right upper arm elevation.","author":[{"dropping-particle":"","family":"Batistão","given":"Mariana Vieira","non-dropping-particle":"","parse-names":false,"suffix":""},{"dropping-particle":"","family":"Sentanin","given":"Anna Cláudia","non-dropping-particle":"","parse-names":false,"suffix":""},{"dropping-particle":"","family":"Moriguchi","given":"Cristiane Shinohara","non-dropping-particle":"","parse-names":false,"suffix":""},{"dropping-particle":"","family":"Hansson","given":"Gert-Åke","non-dropping-particle":"","parse-names":false,"suffix":""},{"dropping-particle":"","family":"Coury","given":"Helenice Jane Cote Gil","non-dropping-particle":"","parse-names":false,"suffix":""},{"dropping-particle":"","family":"Oliveira Sato","given":"Tatiana","non-dropping-particle":"de","parse-names":false,"suffix":""}],"container-title":"Work (Reading, Mass.)","id":"ITEM-2","issued":{"date-parts":[["2012"]]},"page":"4817-24","title":"Furniture dimensions and postural overload for schoolchildren's head, upper back and upper limbs.","type":"article-journal","volume":"41 Suppl 1"},"uris":["http://www.mendeley.com/documents/?uuid=676c01f0-f78a-3852-b550-3013818eb66e"]}],"mendeley":{"formattedCitation":"(Batistão et al., 2012; van Niekerk et al., 2013)","plainTextFormattedCitation":"(Batistão et al., 2012; van Niekerk et al., 2013)","previouslyFormattedCitation":"(Batistão et al., 2012; van Niekerk et al., 2013)"},"properties":{"noteIndex":0},"schema":"https://github.com/citation-style-language/schema/raw/master/csl-citation.json"}</w:instrText>
      </w:r>
      <w:r w:rsidR="00F50F7F">
        <w:fldChar w:fldCharType="separate"/>
      </w:r>
      <w:r w:rsidR="00F50F7F" w:rsidRPr="00F50F7F">
        <w:rPr>
          <w:noProof/>
        </w:rPr>
        <w:t>(Batistão et al., 2012; van Niekerk et al., 2013)</w:t>
      </w:r>
      <w:r w:rsidR="00F50F7F">
        <w:fldChar w:fldCharType="end"/>
      </w:r>
      <w:r w:rsidR="00F50F7F">
        <w:t xml:space="preserve">. Similarly, the </w:t>
      </w:r>
      <w:r w:rsidR="004F2713">
        <w:t>high mismatch was found among Slovenian students</w:t>
      </w:r>
      <w:r w:rsidR="00E60E3E">
        <w:t xml:space="preserve"> at all</w:t>
      </w:r>
      <w:r w:rsidR="00C17FF3">
        <w:t xml:space="preserve"> educational levels</w:t>
      </w:r>
      <w:r w:rsidR="004F2713">
        <w:t xml:space="preserve">. </w:t>
      </w:r>
      <w:r w:rsidR="008B4AEC">
        <w:t>Further on</w:t>
      </w:r>
      <w:r w:rsidR="0041102F">
        <w:t>, e</w:t>
      </w:r>
      <w:r w:rsidR="00F561BF">
        <w:t xml:space="preserve">rgonomically designed school furniture </w:t>
      </w:r>
      <w:r w:rsidR="008B4AEC">
        <w:t>was</w:t>
      </w:r>
      <w:r w:rsidR="00F561BF">
        <w:t xml:space="preserve"> proposed based on the anthropometric data of the students.</w:t>
      </w:r>
      <w:r w:rsidR="00F561BF">
        <w:t xml:space="preserve"> </w:t>
      </w:r>
      <w:r w:rsidR="00C56051">
        <w:t>The high mismatch between the furniture and students’ anthropometry indicates that there is a need to ergonomically redesign school furniture in Slovenian schools</w:t>
      </w:r>
      <w:r w:rsidR="00C56051">
        <w:t xml:space="preserve"> at all levels</w:t>
      </w:r>
      <w:r w:rsidR="00C56051">
        <w:t>. Furthermore, the data obtained could be considered when designing new school furniture in Slovenia. Studies with larger sample sizes assessing multiple age groups are desired to better understand the student-furniture mismatch.</w:t>
      </w:r>
    </w:p>
    <w:p w14:paraId="516A7EB5" w14:textId="34B899FF" w:rsidR="00C141DE" w:rsidRPr="00CA258B" w:rsidRDefault="00C141DE" w:rsidP="00470C84">
      <w:pPr>
        <w:pStyle w:val="AbstractBodyText"/>
        <w:rPr>
          <w:lang w:val="en-GB"/>
        </w:rPr>
      </w:pPr>
      <w:r w:rsidRPr="00CA258B">
        <w:rPr>
          <w:b/>
          <w:lang w:val="en-GB"/>
        </w:rPr>
        <w:t xml:space="preserve">Keywords: </w:t>
      </w:r>
      <w:r w:rsidR="00F5720A">
        <w:rPr>
          <w:lang w:val="en-GB"/>
        </w:rPr>
        <w:t>ergonomics</w:t>
      </w:r>
      <w:r w:rsidRPr="00CA258B">
        <w:rPr>
          <w:lang w:val="en-GB"/>
        </w:rPr>
        <w:t xml:space="preserve">, </w:t>
      </w:r>
      <w:r w:rsidR="00F5720A">
        <w:rPr>
          <w:lang w:val="en-GB"/>
        </w:rPr>
        <w:t>design</w:t>
      </w:r>
      <w:r w:rsidR="00F5720A">
        <w:rPr>
          <w:lang w:val="en-GB"/>
        </w:rPr>
        <w:t>, school-furniture mismatch</w:t>
      </w:r>
      <w:r w:rsidRPr="00CA258B">
        <w:rPr>
          <w:lang w:val="en-GB"/>
        </w:rPr>
        <w:t xml:space="preserve"> </w:t>
      </w:r>
    </w:p>
    <w:p w14:paraId="7D8BCDFA" w14:textId="199BE8EC" w:rsidR="009D7944" w:rsidRPr="00CA258B" w:rsidRDefault="009D7944" w:rsidP="00470C84">
      <w:pPr>
        <w:pStyle w:val="AbstractBodyText"/>
        <w:rPr>
          <w:lang w:val="en-GB"/>
        </w:rPr>
      </w:pPr>
      <w:r w:rsidRPr="00CA258B">
        <w:rPr>
          <w:b/>
          <w:lang w:val="en-GB"/>
        </w:rPr>
        <w:t xml:space="preserve">Acknowledgements: </w:t>
      </w:r>
      <w:r w:rsidR="00A803F0" w:rsidRPr="00A803F0">
        <w:rPr>
          <w:lang w:val="en-GB"/>
        </w:rPr>
        <w:t xml:space="preserve">The authors gratefully acknowledge the European Commission for funding the </w:t>
      </w:r>
      <w:proofErr w:type="spellStart"/>
      <w:r w:rsidR="00A803F0" w:rsidRPr="00A803F0">
        <w:rPr>
          <w:lang w:val="en-GB"/>
        </w:rPr>
        <w:t>InnoRenew</w:t>
      </w:r>
      <w:proofErr w:type="spellEnd"/>
      <w:r w:rsidR="00A803F0" w:rsidRPr="00A803F0">
        <w:rPr>
          <w:lang w:val="en-GB"/>
        </w:rPr>
        <w:t xml:space="preserve"> </w:t>
      </w:r>
      <w:proofErr w:type="spellStart"/>
      <w:r w:rsidR="00A803F0" w:rsidRPr="00A803F0">
        <w:rPr>
          <w:lang w:val="en-GB"/>
        </w:rPr>
        <w:t>CoE</w:t>
      </w:r>
      <w:proofErr w:type="spellEnd"/>
      <w:r w:rsidR="00A803F0" w:rsidRPr="00A803F0">
        <w:rPr>
          <w:lang w:val="en-GB"/>
        </w:rPr>
        <w:t xml:space="preserve"> project (Grant Agreement #739574) under the Horizon2020 Widespread-Teaming program and the Republic of Slovenia (Investment funding of the Republic of Slovenia and the European Union of the European regional Development Fund).</w:t>
      </w:r>
    </w:p>
    <w:p w14:paraId="7769E30F" w14:textId="77777777" w:rsidR="00B57FD3" w:rsidRPr="00CA258B" w:rsidRDefault="00F17B89" w:rsidP="00C141DE">
      <w:pPr>
        <w:pStyle w:val="ReferencesTitle"/>
        <w:rPr>
          <w:lang w:val="en-GB"/>
        </w:rPr>
      </w:pPr>
      <w:r w:rsidRPr="00CA258B">
        <w:rPr>
          <w:lang w:val="en-GB"/>
        </w:rPr>
        <w:t xml:space="preserve">REFERENCES </w:t>
      </w:r>
    </w:p>
    <w:p w14:paraId="2019312C" w14:textId="0367E733" w:rsidR="004325E0" w:rsidRPr="004325E0" w:rsidRDefault="00C141DE" w:rsidP="004325E0">
      <w:pPr>
        <w:widowControl w:val="0"/>
        <w:autoSpaceDE w:val="0"/>
        <w:autoSpaceDN w:val="0"/>
        <w:adjustRightInd w:val="0"/>
        <w:spacing w:after="120"/>
        <w:ind w:left="480" w:hanging="480"/>
        <w:rPr>
          <w:noProof/>
          <w:sz w:val="22"/>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004325E0" w:rsidRPr="004325E0">
        <w:rPr>
          <w:noProof/>
          <w:sz w:val="22"/>
        </w:rPr>
        <w:t>Batistão, M.V., Sentanin, A.C., Moriguchi, C.S., Hansson, G.-Å., Coury, H.J.C.G., de Oliveira Sato, T., 2012. Furniture dimensions and postural overload for schoolchildren’s head, upper back and upper limbs. Work 41 Suppl 1, 4817–24. https://doi.org/10.3233/WOR-2012-0770-4817</w:t>
      </w:r>
    </w:p>
    <w:p w14:paraId="0180298C" w14:textId="77777777" w:rsidR="004325E0" w:rsidRPr="004325E0" w:rsidRDefault="004325E0" w:rsidP="004325E0">
      <w:pPr>
        <w:widowControl w:val="0"/>
        <w:autoSpaceDE w:val="0"/>
        <w:autoSpaceDN w:val="0"/>
        <w:adjustRightInd w:val="0"/>
        <w:spacing w:after="120"/>
        <w:ind w:left="480" w:hanging="480"/>
        <w:rPr>
          <w:noProof/>
          <w:sz w:val="22"/>
        </w:rPr>
      </w:pPr>
      <w:r w:rsidRPr="004325E0">
        <w:rPr>
          <w:noProof/>
          <w:sz w:val="22"/>
        </w:rPr>
        <w:t>van Niekerk, S.-M., Louw, Q.A., Grimmer-Somers, K., Harvey, J., Hendry, K.J., 2013. The anthropometric match between high school learners of the Cape Metropole area, Western Cape, South Africa and their computer workstation at school. Appl. Ergon. 44, 366–371. https://doi.org/10.1016/j.apergo.2012.09.008</w:t>
      </w:r>
    </w:p>
    <w:p w14:paraId="2DB31C4B" w14:textId="77777777" w:rsidR="00F17B89" w:rsidRPr="00CA258B" w:rsidRDefault="00C141DE" w:rsidP="00470C84">
      <w:pPr>
        <w:pStyle w:val="Reference"/>
        <w:rPr>
          <w:lang w:val="en-GB"/>
        </w:rPr>
      </w:pPr>
      <w:r w:rsidRPr="00CA258B">
        <w:rPr>
          <w:lang w:val="en-GB"/>
        </w:rPr>
        <w:lastRenderedPageBreak/>
        <w:fldChar w:fldCharType="end"/>
      </w:r>
    </w:p>
    <w:sectPr w:rsidR="00F17B89" w:rsidRPr="00CA258B">
      <w:headerReference w:type="even" r:id="rId11"/>
      <w:headerReference w:type="default" r:id="rId12"/>
      <w:headerReference w:type="first" r:id="rId13"/>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08E9" w14:textId="77777777" w:rsidR="006A2C85" w:rsidRDefault="006A2C85">
      <w:r>
        <w:separator/>
      </w:r>
    </w:p>
  </w:endnote>
  <w:endnote w:type="continuationSeparator" w:id="0">
    <w:p w14:paraId="5A41E9D9" w14:textId="77777777" w:rsidR="006A2C85" w:rsidRDefault="006A2C85">
      <w:r>
        <w:continuationSeparator/>
      </w:r>
    </w:p>
  </w:endnote>
  <w:endnote w:type="continuationNotice" w:id="1">
    <w:p w14:paraId="14C22A81" w14:textId="77777777" w:rsidR="006A2C85" w:rsidRDefault="006A2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C107" w14:textId="77777777" w:rsidR="006A2C85" w:rsidRDefault="006A2C85">
      <w:r>
        <w:separator/>
      </w:r>
    </w:p>
  </w:footnote>
  <w:footnote w:type="continuationSeparator" w:id="0">
    <w:p w14:paraId="5C27DEBD" w14:textId="77777777" w:rsidR="006A2C85" w:rsidRDefault="006A2C85">
      <w:r>
        <w:continuationSeparator/>
      </w:r>
    </w:p>
  </w:footnote>
  <w:footnote w:type="continuationNotice" w:id="1">
    <w:p w14:paraId="03E13261" w14:textId="77777777" w:rsidR="006A2C85" w:rsidRDefault="006A2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Header"/>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eader"/>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039FB"/>
    <w:rsid w:val="00020874"/>
    <w:rsid w:val="000252C5"/>
    <w:rsid w:val="0002543A"/>
    <w:rsid w:val="00045DD5"/>
    <w:rsid w:val="00086A51"/>
    <w:rsid w:val="000B5C08"/>
    <w:rsid w:val="000E3EF9"/>
    <w:rsid w:val="001B10FA"/>
    <w:rsid w:val="001D6EC7"/>
    <w:rsid w:val="00205229"/>
    <w:rsid w:val="00216E87"/>
    <w:rsid w:val="00252912"/>
    <w:rsid w:val="00266F95"/>
    <w:rsid w:val="002703B1"/>
    <w:rsid w:val="00396E31"/>
    <w:rsid w:val="0041102F"/>
    <w:rsid w:val="004325E0"/>
    <w:rsid w:val="00435EA5"/>
    <w:rsid w:val="00463F1B"/>
    <w:rsid w:val="00470C84"/>
    <w:rsid w:val="004A0437"/>
    <w:rsid w:val="004D1BC6"/>
    <w:rsid w:val="004D76A4"/>
    <w:rsid w:val="004F2713"/>
    <w:rsid w:val="0053799E"/>
    <w:rsid w:val="00542698"/>
    <w:rsid w:val="00546007"/>
    <w:rsid w:val="00561942"/>
    <w:rsid w:val="00574A27"/>
    <w:rsid w:val="005F7E68"/>
    <w:rsid w:val="00611342"/>
    <w:rsid w:val="00627F10"/>
    <w:rsid w:val="00631A80"/>
    <w:rsid w:val="00635FC8"/>
    <w:rsid w:val="00640719"/>
    <w:rsid w:val="006922BB"/>
    <w:rsid w:val="006A2C85"/>
    <w:rsid w:val="006C7563"/>
    <w:rsid w:val="006D4FBC"/>
    <w:rsid w:val="006E743C"/>
    <w:rsid w:val="00721A88"/>
    <w:rsid w:val="00734F85"/>
    <w:rsid w:val="00751562"/>
    <w:rsid w:val="007534F6"/>
    <w:rsid w:val="00762956"/>
    <w:rsid w:val="00766123"/>
    <w:rsid w:val="00774372"/>
    <w:rsid w:val="007876E8"/>
    <w:rsid w:val="007A18C2"/>
    <w:rsid w:val="007D4DF6"/>
    <w:rsid w:val="008846B7"/>
    <w:rsid w:val="00887F31"/>
    <w:rsid w:val="008A49B5"/>
    <w:rsid w:val="008B4AEC"/>
    <w:rsid w:val="008B4E58"/>
    <w:rsid w:val="008C729A"/>
    <w:rsid w:val="00912909"/>
    <w:rsid w:val="00935506"/>
    <w:rsid w:val="009841A6"/>
    <w:rsid w:val="009B0D7C"/>
    <w:rsid w:val="009D7944"/>
    <w:rsid w:val="009E2B20"/>
    <w:rsid w:val="00A03C65"/>
    <w:rsid w:val="00A06CE0"/>
    <w:rsid w:val="00A11EE2"/>
    <w:rsid w:val="00A46E8D"/>
    <w:rsid w:val="00A803F0"/>
    <w:rsid w:val="00A908C1"/>
    <w:rsid w:val="00AC49F1"/>
    <w:rsid w:val="00AE280C"/>
    <w:rsid w:val="00B01496"/>
    <w:rsid w:val="00B03A6A"/>
    <w:rsid w:val="00B24DD8"/>
    <w:rsid w:val="00B56F6A"/>
    <w:rsid w:val="00B57FD3"/>
    <w:rsid w:val="00B652BA"/>
    <w:rsid w:val="00B672C5"/>
    <w:rsid w:val="00B8403B"/>
    <w:rsid w:val="00BC2208"/>
    <w:rsid w:val="00C141DE"/>
    <w:rsid w:val="00C17FF3"/>
    <w:rsid w:val="00C20F91"/>
    <w:rsid w:val="00C56051"/>
    <w:rsid w:val="00C66DEA"/>
    <w:rsid w:val="00C71A7C"/>
    <w:rsid w:val="00CA258B"/>
    <w:rsid w:val="00CB3C1D"/>
    <w:rsid w:val="00D0203F"/>
    <w:rsid w:val="00D223B9"/>
    <w:rsid w:val="00D33982"/>
    <w:rsid w:val="00D52212"/>
    <w:rsid w:val="00D77527"/>
    <w:rsid w:val="00D80262"/>
    <w:rsid w:val="00D93764"/>
    <w:rsid w:val="00DA008B"/>
    <w:rsid w:val="00DE1259"/>
    <w:rsid w:val="00DF3EE9"/>
    <w:rsid w:val="00DF7798"/>
    <w:rsid w:val="00E12AA5"/>
    <w:rsid w:val="00E3581B"/>
    <w:rsid w:val="00E47876"/>
    <w:rsid w:val="00E60E3E"/>
    <w:rsid w:val="00E93DD2"/>
    <w:rsid w:val="00EB294C"/>
    <w:rsid w:val="00F00CCE"/>
    <w:rsid w:val="00F0767C"/>
    <w:rsid w:val="00F14F3F"/>
    <w:rsid w:val="00F17B89"/>
    <w:rsid w:val="00F50F7F"/>
    <w:rsid w:val="00F561BF"/>
    <w:rsid w:val="00F5720A"/>
    <w:rsid w:val="00F7370B"/>
    <w:rsid w:val="00FD1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5e2f5b1d-8d81-4269-86fe-d536e340831f"/>
    <ds:schemaRef ds:uri="http://purl.org/dc/dcmitype/"/>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8FA18-EB74-4BAD-AE48-75D28E38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7331</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Nastja Podrekar</cp:lastModifiedBy>
  <cp:revision>83</cp:revision>
  <cp:lastPrinted>2014-01-17T10:40:00Z</cp:lastPrinted>
  <dcterms:created xsi:type="dcterms:W3CDTF">2019-09-09T12:27:00Z</dcterms:created>
  <dcterms:modified xsi:type="dcterms:W3CDTF">2019-11-04T15:28:00Z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447c31a3-11eb-32f1-83d1-e3964a780b53</vt:lpwstr>
  </property>
  <property fmtid="{D5CDD505-2E9C-101B-9397-08002B2CF9AE}" pid="7" name="Mendeley Citation Style_1">
    <vt:lpwstr>http://www.zotero.org/styles/elsevier-harvard</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http://www.zotero.org/styles/applied-ergonomics</vt:lpwstr>
  </property>
  <property fmtid="{D5CDD505-2E9C-101B-9397-08002B2CF9AE}" pid="13" name="Mendeley Recent Style Name 2_1">
    <vt:lpwstr>Applied Ergonomics</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http://www.zotero.org/styles/elsevier-harvard</vt:lpwstr>
  </property>
  <property fmtid="{D5CDD505-2E9C-101B-9397-08002B2CF9AE}" pid="19" name="Mendeley Recent Style Name 5_1">
    <vt:lpwstr>Elsevier - Harvard (with titles)</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http://www.zotero.org/styles/national-library-of-medicine</vt:lpwstr>
  </property>
  <property fmtid="{D5CDD505-2E9C-101B-9397-08002B2CF9AE}" pid="23" name="Mendeley Recent Style Name 7_1">
    <vt:lpwstr>National Library of Medicine</vt:lpwstr>
  </property>
  <property fmtid="{D5CDD505-2E9C-101B-9397-08002B2CF9AE}" pid="24" name="Mendeley Recent Style Id 8_1">
    <vt:lpwstr>http://www.zotero.org/styles/univerza-na-primorskem-fakulteta-za-vede-o-zdravju-apa</vt:lpwstr>
  </property>
  <property fmtid="{D5CDD505-2E9C-101B-9397-08002B2CF9AE}" pid="25" name="Mendeley Recent Style Name 8_1">
    <vt:lpwstr>Univerza na Primorskem - Fakulteta za vede o zdravju - APA (Slovenian)</vt:lpwstr>
  </property>
  <property fmtid="{D5CDD505-2E9C-101B-9397-08002B2CF9AE}" pid="26" name="Mendeley Recent Style Id 9_1">
    <vt:lpwstr>https://csl.mendeley.com/styles/518055341/vancouver-3</vt:lpwstr>
  </property>
  <property fmtid="{D5CDD505-2E9C-101B-9397-08002B2CF9AE}" pid="27" name="Mendeley Recent Style Name 9_1">
    <vt:lpwstr>Vancouver - nastja podrekar</vt:lpwstr>
  </property>
  <property fmtid="{D5CDD505-2E9C-101B-9397-08002B2CF9AE}" pid="28" name="ContentTypeId">
    <vt:lpwstr>0x010100AB10C43B9F624F46AC92EBAC60C63EAC</vt:lpwstr>
  </property>
</Properties>
</file>