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FDADDF" w14:textId="6DCA4936" w:rsidR="00B57FD3" w:rsidRPr="00CA258B" w:rsidRDefault="005C00B6" w:rsidP="00470C84">
      <w:pPr>
        <w:pStyle w:val="AbstractTitle"/>
        <w:rPr>
          <w:bCs/>
          <w:lang w:val="en-GB"/>
        </w:rPr>
      </w:pPr>
      <w:r>
        <w:rPr>
          <w:lang w:val="en-GB"/>
        </w:rPr>
        <w:t xml:space="preserve">Thermo-Hydro-Mechanical Treatment of Australian </w:t>
      </w:r>
      <w:proofErr w:type="spellStart"/>
      <w:r>
        <w:rPr>
          <w:lang w:val="en-GB"/>
        </w:rPr>
        <w:t>Sawlog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Pulplog</w:t>
      </w:r>
      <w:proofErr w:type="spellEnd"/>
      <w:r>
        <w:rPr>
          <w:lang w:val="en-GB"/>
        </w:rPr>
        <w:t xml:space="preserve"> Hardwood Resources </w:t>
      </w:r>
    </w:p>
    <w:p w14:paraId="39041DED" w14:textId="77777777" w:rsidR="00B57FD3" w:rsidRPr="00CA258B" w:rsidRDefault="00B57FD3">
      <w:pPr>
        <w:pStyle w:val="Author"/>
        <w:spacing w:before="0"/>
        <w:rPr>
          <w:lang w:val="en-GB"/>
        </w:rPr>
      </w:pPr>
    </w:p>
    <w:p w14:paraId="6DFCE5BC" w14:textId="6124848E" w:rsidR="00B57FD3" w:rsidRPr="009A4F06" w:rsidRDefault="009A4F06">
      <w:pPr>
        <w:pStyle w:val="Author"/>
        <w:spacing w:before="0"/>
        <w:rPr>
          <w:b w:val="0"/>
          <w:lang w:val="en-GB"/>
        </w:rPr>
      </w:pPr>
      <w:r>
        <w:rPr>
          <w:lang w:val="en-GB"/>
        </w:rPr>
        <w:t>Nathan Kotlarewski</w:t>
      </w:r>
      <w:r w:rsidR="00F17B89" w:rsidRPr="00CA258B">
        <w:rPr>
          <w:b w:val="0"/>
          <w:vertAlign w:val="superscript"/>
          <w:lang w:val="en-GB"/>
        </w:rPr>
        <w:t>1</w:t>
      </w:r>
      <w:r w:rsidR="00C141DE" w:rsidRPr="00CA258B">
        <w:rPr>
          <w:b w:val="0"/>
          <w:vertAlign w:val="superscript"/>
          <w:lang w:val="en-GB"/>
        </w:rPr>
        <w:t>*</w:t>
      </w:r>
      <w:r w:rsidR="00F17B89" w:rsidRPr="00CA258B">
        <w:rPr>
          <w:lang w:val="en-GB"/>
        </w:rPr>
        <w:t xml:space="preserve">, </w:t>
      </w:r>
      <w:r>
        <w:rPr>
          <w:lang w:val="en-GB"/>
        </w:rPr>
        <w:t>Michael Lee</w:t>
      </w:r>
      <w:r>
        <w:rPr>
          <w:b w:val="0"/>
          <w:vertAlign w:val="superscript"/>
          <w:lang w:val="en-GB"/>
        </w:rPr>
        <w:t>2</w:t>
      </w:r>
      <w:r>
        <w:rPr>
          <w:b w:val="0"/>
          <w:lang w:val="en-GB"/>
        </w:rPr>
        <w:t xml:space="preserve">, </w:t>
      </w:r>
      <w:r w:rsidRPr="009A4F06">
        <w:rPr>
          <w:bCs/>
          <w:lang w:val="en-GB"/>
        </w:rPr>
        <w:t>Matthew</w:t>
      </w:r>
      <w:r>
        <w:rPr>
          <w:bCs/>
          <w:lang w:val="en-GB"/>
        </w:rPr>
        <w:t xml:space="preserve"> Schwarzkopf</w:t>
      </w:r>
      <w:r>
        <w:rPr>
          <w:b w:val="0"/>
          <w:vertAlign w:val="superscript"/>
          <w:lang w:val="en-GB"/>
        </w:rPr>
        <w:t>3</w:t>
      </w:r>
      <w:r w:rsidR="007C2DF5">
        <w:rPr>
          <w:b w:val="0"/>
          <w:vertAlign w:val="superscript"/>
          <w:lang w:val="en-GB"/>
        </w:rPr>
        <w:t>,4</w:t>
      </w:r>
      <w:r>
        <w:rPr>
          <w:b w:val="0"/>
          <w:lang w:val="en-GB"/>
        </w:rPr>
        <w:t xml:space="preserve">, </w:t>
      </w:r>
      <w:r w:rsidRPr="009A4F06">
        <w:rPr>
          <w:bCs/>
          <w:lang w:val="en-GB"/>
        </w:rPr>
        <w:t>Jaka Pečnik</w:t>
      </w:r>
      <w:r>
        <w:rPr>
          <w:b w:val="0"/>
          <w:vertAlign w:val="superscript"/>
          <w:lang w:val="en-GB"/>
        </w:rPr>
        <w:t>3</w:t>
      </w:r>
      <w:r w:rsidR="007C2DF5">
        <w:rPr>
          <w:b w:val="0"/>
          <w:vertAlign w:val="superscript"/>
          <w:lang w:val="en-GB"/>
        </w:rPr>
        <w:t>,4</w:t>
      </w:r>
      <w:r>
        <w:rPr>
          <w:b w:val="0"/>
          <w:lang w:val="en-GB"/>
        </w:rPr>
        <w:t xml:space="preserve">, </w:t>
      </w:r>
      <w:r>
        <w:t>Marica Mikuljan</w:t>
      </w:r>
      <w:r w:rsidR="007C2DF5">
        <w:rPr>
          <w:b w:val="0"/>
          <w:bCs/>
          <w:vertAlign w:val="superscript"/>
        </w:rPr>
        <w:t>4</w:t>
      </w:r>
      <w:r>
        <w:rPr>
          <w:b w:val="0"/>
          <w:lang w:val="en-GB"/>
        </w:rPr>
        <w:t xml:space="preserve">. </w:t>
      </w:r>
    </w:p>
    <w:p w14:paraId="1A0658EE" w14:textId="77777777" w:rsidR="00B57FD3" w:rsidRPr="00CA258B" w:rsidRDefault="00B57FD3">
      <w:pPr>
        <w:pStyle w:val="Author"/>
        <w:spacing w:before="0"/>
        <w:rPr>
          <w:b w:val="0"/>
          <w:vertAlign w:val="superscript"/>
          <w:lang w:val="en-GB"/>
        </w:rPr>
      </w:pPr>
    </w:p>
    <w:p w14:paraId="5547DE87" w14:textId="77777777" w:rsidR="00EC65D1" w:rsidRDefault="00F17B89">
      <w:pPr>
        <w:pStyle w:val="Affiliation"/>
        <w:spacing w:before="0"/>
        <w:rPr>
          <w:szCs w:val="22"/>
          <w:lang w:val="en-GB"/>
        </w:rPr>
      </w:pPr>
      <w:r w:rsidRPr="00CA258B">
        <w:rPr>
          <w:vertAlign w:val="superscript"/>
          <w:lang w:val="en-GB"/>
        </w:rPr>
        <w:t>1</w:t>
      </w:r>
      <w:r w:rsidR="009A4F06">
        <w:rPr>
          <w:lang w:val="en-GB"/>
        </w:rPr>
        <w:t>University of Tasmania, ARC Centre for Forest Value</w:t>
      </w:r>
      <w:r w:rsidRPr="00CA258B">
        <w:rPr>
          <w:lang w:val="en-GB"/>
        </w:rPr>
        <w:t xml:space="preserve">, </w:t>
      </w:r>
      <w:hyperlink r:id="rId11" w:history="1">
        <w:r w:rsidR="001C050B" w:rsidRPr="00230211">
          <w:rPr>
            <w:rStyle w:val="Hyperlink"/>
            <w:lang w:val="en-GB"/>
          </w:rPr>
          <w:t>Nathan.Kotlarewski@utas.edu.au</w:t>
        </w:r>
      </w:hyperlink>
      <w:r w:rsidR="001C050B">
        <w:rPr>
          <w:lang w:val="en-GB"/>
        </w:rPr>
        <w:t>,</w:t>
      </w:r>
      <w:r w:rsidR="00C141DE" w:rsidRPr="00CA258B">
        <w:rPr>
          <w:szCs w:val="22"/>
          <w:lang w:val="en-GB"/>
        </w:rPr>
        <w:t xml:space="preserve"> </w:t>
      </w:r>
    </w:p>
    <w:p w14:paraId="008E7137" w14:textId="5D34FFD8" w:rsidR="00B57FD3" w:rsidRPr="00CA258B" w:rsidRDefault="001C050B">
      <w:pPr>
        <w:pStyle w:val="Affiliation"/>
        <w:spacing w:before="0"/>
        <w:rPr>
          <w:vertAlign w:val="superscript"/>
          <w:lang w:val="en-GB"/>
        </w:rPr>
      </w:pPr>
      <w:r>
        <w:rPr>
          <w:szCs w:val="22"/>
          <w:lang w:val="en-GB"/>
        </w:rPr>
        <w:t xml:space="preserve">6 </w:t>
      </w:r>
      <w:proofErr w:type="spellStart"/>
      <w:r>
        <w:rPr>
          <w:szCs w:val="22"/>
          <w:lang w:val="en-GB"/>
        </w:rPr>
        <w:t>Invermay</w:t>
      </w:r>
      <w:proofErr w:type="spellEnd"/>
      <w:r>
        <w:rPr>
          <w:szCs w:val="22"/>
          <w:lang w:val="en-GB"/>
        </w:rPr>
        <w:t xml:space="preserve"> road, Launceston, Tasmania, 7250, Australia.</w:t>
      </w:r>
    </w:p>
    <w:p w14:paraId="08EDDA34" w14:textId="5DCF3E1E" w:rsidR="00EC65D1" w:rsidRDefault="00F17B89" w:rsidP="00C141DE">
      <w:pPr>
        <w:pStyle w:val="Affiliation"/>
        <w:spacing w:before="0"/>
      </w:pPr>
      <w:r w:rsidRPr="00CA258B">
        <w:rPr>
          <w:vertAlign w:val="superscript"/>
          <w:lang w:val="en-GB"/>
        </w:rPr>
        <w:t>2</w:t>
      </w:r>
      <w:r w:rsidR="009A4F06">
        <w:rPr>
          <w:lang w:val="en-GB"/>
        </w:rPr>
        <w:t>University of Tasmania</w:t>
      </w:r>
      <w:r w:rsidR="009A4F06">
        <w:rPr>
          <w:szCs w:val="22"/>
          <w:lang w:val="en-GB"/>
        </w:rPr>
        <w:t>, Centre for Sustainable Architecture with Wood</w:t>
      </w:r>
      <w:r w:rsidR="001C050B">
        <w:rPr>
          <w:szCs w:val="22"/>
          <w:lang w:val="en-GB"/>
        </w:rPr>
        <w:t>,</w:t>
      </w:r>
      <w:r w:rsidR="001C050B" w:rsidRPr="00CA258B">
        <w:rPr>
          <w:szCs w:val="22"/>
          <w:lang w:val="en-GB"/>
        </w:rPr>
        <w:t xml:space="preserve"> </w:t>
      </w:r>
      <w:hyperlink r:id="rId12" w:history="1">
        <w:r w:rsidR="001C050B">
          <w:rPr>
            <w:rStyle w:val="Hyperlink"/>
          </w:rPr>
          <w:t>M.W.Lee@utas.edu.au</w:t>
        </w:r>
      </w:hyperlink>
      <w:r w:rsidR="00EC65D1">
        <w:t>,</w:t>
      </w:r>
    </w:p>
    <w:p w14:paraId="3B21EF2A" w14:textId="4130D1CF" w:rsidR="00BF40DB" w:rsidRDefault="001C050B" w:rsidP="00C141DE">
      <w:pPr>
        <w:pStyle w:val="Affiliation"/>
        <w:spacing w:before="0"/>
        <w:rPr>
          <w:szCs w:val="22"/>
          <w:lang w:val="en-GB"/>
        </w:rPr>
      </w:pPr>
      <w:r>
        <w:rPr>
          <w:szCs w:val="22"/>
          <w:lang w:val="en-GB"/>
        </w:rPr>
        <w:t xml:space="preserve">6 </w:t>
      </w:r>
      <w:proofErr w:type="spellStart"/>
      <w:r>
        <w:rPr>
          <w:szCs w:val="22"/>
          <w:lang w:val="en-GB"/>
        </w:rPr>
        <w:t>Invermay</w:t>
      </w:r>
      <w:proofErr w:type="spellEnd"/>
      <w:r>
        <w:rPr>
          <w:szCs w:val="22"/>
          <w:lang w:val="en-GB"/>
        </w:rPr>
        <w:t xml:space="preserve"> road, Launceston, Tasmania, 7250, Australia. </w:t>
      </w:r>
    </w:p>
    <w:p w14:paraId="0D8EBE34" w14:textId="456BDDE4" w:rsidR="007C2DF5" w:rsidRDefault="00BF40DB" w:rsidP="007C2DF5">
      <w:pPr>
        <w:pStyle w:val="Affiliation"/>
        <w:spacing w:before="0"/>
        <w:rPr>
          <w:szCs w:val="22"/>
          <w:lang w:val="en-GB"/>
        </w:rPr>
      </w:pPr>
      <w:r>
        <w:rPr>
          <w:szCs w:val="22"/>
          <w:vertAlign w:val="superscript"/>
          <w:lang w:val="en-GB"/>
        </w:rPr>
        <w:t>3</w:t>
      </w:r>
      <w:r w:rsidR="009C5546" w:rsidRPr="009C5546">
        <w:rPr>
          <w:szCs w:val="22"/>
          <w:lang w:val="en-GB"/>
        </w:rPr>
        <w:t xml:space="preserve">University of </w:t>
      </w:r>
      <w:proofErr w:type="spellStart"/>
      <w:r w:rsidR="009C5546" w:rsidRPr="009C5546">
        <w:rPr>
          <w:szCs w:val="22"/>
          <w:lang w:val="en-GB"/>
        </w:rPr>
        <w:t>Primorska</w:t>
      </w:r>
      <w:proofErr w:type="spellEnd"/>
      <w:r w:rsidR="009C5546" w:rsidRPr="009C5546">
        <w:rPr>
          <w:szCs w:val="22"/>
          <w:lang w:val="en-GB"/>
        </w:rPr>
        <w:t>,</w:t>
      </w:r>
      <w:r w:rsidR="001C050B">
        <w:rPr>
          <w:szCs w:val="22"/>
          <w:lang w:val="en-GB"/>
        </w:rPr>
        <w:t xml:space="preserve"> </w:t>
      </w:r>
      <w:hyperlink r:id="rId13" w:history="1">
        <w:r w:rsidR="007C2DF5" w:rsidRPr="00230211">
          <w:rPr>
            <w:rStyle w:val="Hyperlink"/>
          </w:rPr>
          <w:t>matthew.schwarzkopf@iam.upr.si</w:t>
        </w:r>
      </w:hyperlink>
      <w:r w:rsidR="007C2DF5">
        <w:t xml:space="preserve">, </w:t>
      </w:r>
      <w:hyperlink r:id="rId14" w:history="1">
        <w:r w:rsidR="007C2DF5" w:rsidRPr="00230211">
          <w:rPr>
            <w:rStyle w:val="Hyperlink"/>
          </w:rPr>
          <w:t>jaka.pecnik@innorenew.eu</w:t>
        </w:r>
      </w:hyperlink>
      <w:r w:rsidR="007C2DF5">
        <w:t xml:space="preserve">, </w:t>
      </w:r>
    </w:p>
    <w:p w14:paraId="3823832B" w14:textId="77777777" w:rsidR="007C2DF5" w:rsidRPr="00EC65D1" w:rsidRDefault="007C2DF5" w:rsidP="007C2DF5">
      <w:pPr>
        <w:pStyle w:val="Affiliation"/>
        <w:spacing w:before="0"/>
        <w:rPr>
          <w:szCs w:val="22"/>
          <w:lang w:val="en-GB"/>
        </w:rPr>
      </w:pPr>
      <w:proofErr w:type="spellStart"/>
      <w:r w:rsidRPr="001C050B">
        <w:rPr>
          <w:szCs w:val="22"/>
          <w:lang w:val="en-GB"/>
        </w:rPr>
        <w:t>Muzejski</w:t>
      </w:r>
      <w:proofErr w:type="spellEnd"/>
      <w:r w:rsidRPr="001C050B">
        <w:rPr>
          <w:szCs w:val="22"/>
          <w:lang w:val="en-GB"/>
        </w:rPr>
        <w:t xml:space="preserve"> </w:t>
      </w:r>
      <w:proofErr w:type="spellStart"/>
      <w:r w:rsidRPr="001C050B">
        <w:rPr>
          <w:szCs w:val="22"/>
          <w:lang w:val="en-GB"/>
        </w:rPr>
        <w:t>trg</w:t>
      </w:r>
      <w:proofErr w:type="spellEnd"/>
      <w:r w:rsidRPr="001C050B">
        <w:rPr>
          <w:szCs w:val="22"/>
          <w:lang w:val="en-GB"/>
        </w:rPr>
        <w:t xml:space="preserve"> 2, SI-6000 Koper</w:t>
      </w:r>
      <w:r>
        <w:rPr>
          <w:szCs w:val="22"/>
          <w:lang w:val="en-GB"/>
        </w:rPr>
        <w:t>, Slovenia.</w:t>
      </w:r>
    </w:p>
    <w:p w14:paraId="6FA49794" w14:textId="1BF6586A" w:rsidR="00EC65D1" w:rsidRDefault="007C2DF5" w:rsidP="00EC65D1">
      <w:pPr>
        <w:pStyle w:val="Affiliation"/>
        <w:spacing w:before="0"/>
        <w:rPr>
          <w:szCs w:val="22"/>
          <w:lang w:val="en-GB"/>
        </w:rPr>
      </w:pPr>
      <w:r w:rsidRPr="007C2DF5">
        <w:rPr>
          <w:szCs w:val="22"/>
          <w:vertAlign w:val="superscript"/>
          <w:lang w:val="en-GB"/>
        </w:rPr>
        <w:t>4</w:t>
      </w:r>
      <w:r w:rsidR="001C050B">
        <w:rPr>
          <w:szCs w:val="22"/>
          <w:lang w:val="en-GB"/>
        </w:rPr>
        <w:t xml:space="preserve">InnoRenew Centre of Excellence, </w:t>
      </w:r>
      <w:hyperlink r:id="rId15" w:history="1">
        <w:r w:rsidRPr="00F17E63">
          <w:rPr>
            <w:rStyle w:val="Hyperlink"/>
          </w:rPr>
          <w:t>marica.mikuljan@innorenew.eu</w:t>
        </w:r>
      </w:hyperlink>
      <w:r w:rsidR="00EC65D1">
        <w:rPr>
          <w:szCs w:val="22"/>
          <w:lang w:val="en-GB"/>
        </w:rPr>
        <w:t xml:space="preserve">, </w:t>
      </w:r>
    </w:p>
    <w:p w14:paraId="0AD5D229" w14:textId="2CACBC6D" w:rsidR="001C050B" w:rsidRPr="00EC65D1" w:rsidRDefault="007C2DF5" w:rsidP="00EC65D1">
      <w:pPr>
        <w:pStyle w:val="Affiliation"/>
        <w:spacing w:before="0"/>
        <w:rPr>
          <w:szCs w:val="22"/>
          <w:lang w:val="en-GB"/>
        </w:rPr>
      </w:pPr>
      <w:proofErr w:type="spellStart"/>
      <w:r w:rsidRPr="007C2DF5">
        <w:rPr>
          <w:szCs w:val="22"/>
          <w:lang w:val="en-GB"/>
        </w:rPr>
        <w:t>Livade</w:t>
      </w:r>
      <w:proofErr w:type="spellEnd"/>
      <w:r w:rsidRPr="007C2DF5">
        <w:rPr>
          <w:szCs w:val="22"/>
          <w:lang w:val="en-GB"/>
        </w:rPr>
        <w:t xml:space="preserve"> 6, SI-6310 Izola.</w:t>
      </w:r>
      <w:r w:rsidR="001C050B">
        <w:rPr>
          <w:szCs w:val="22"/>
          <w:lang w:val="en-GB"/>
        </w:rPr>
        <w:t xml:space="preserve">, </w:t>
      </w:r>
      <w:r w:rsidR="00B45F80">
        <w:rPr>
          <w:szCs w:val="22"/>
          <w:lang w:val="en-GB"/>
        </w:rPr>
        <w:t>Slovenia.</w:t>
      </w:r>
    </w:p>
    <w:p w14:paraId="7399FAC8" w14:textId="79C56F5F" w:rsidR="00B57FD3" w:rsidRPr="00CA258B" w:rsidRDefault="00C141DE" w:rsidP="00C141DE">
      <w:pPr>
        <w:pStyle w:val="Affiliation"/>
        <w:spacing w:before="0"/>
        <w:rPr>
          <w:lang w:val="en-GB"/>
        </w:rPr>
      </w:pPr>
      <w:r w:rsidRPr="00CA258B">
        <w:rPr>
          <w:lang w:val="en-GB"/>
        </w:rPr>
        <w:t>*Corresponding author</w:t>
      </w:r>
      <w:r w:rsidR="007C2DF5">
        <w:rPr>
          <w:lang w:val="en-GB"/>
        </w:rPr>
        <w:t xml:space="preserve"> </w:t>
      </w:r>
      <w:bookmarkStart w:id="0" w:name="_GoBack"/>
      <w:bookmarkEnd w:id="0"/>
    </w:p>
    <w:p w14:paraId="1A5343E4" w14:textId="58BFDD00" w:rsidR="00EC65D1" w:rsidRDefault="001B52B5" w:rsidP="00F71459">
      <w:pPr>
        <w:pStyle w:val="AbstractBodyText"/>
        <w:rPr>
          <w:lang w:val="en-GB"/>
        </w:rPr>
      </w:pPr>
      <w:r>
        <w:rPr>
          <w:lang w:val="en-GB"/>
        </w:rPr>
        <w:t>Australian s</w:t>
      </w:r>
      <w:r w:rsidRPr="00CB7DEA">
        <w:rPr>
          <w:lang w:val="en-GB"/>
        </w:rPr>
        <w:t>awn</w:t>
      </w:r>
      <w:r w:rsidR="008D13BD">
        <w:rPr>
          <w:lang w:val="en-GB"/>
        </w:rPr>
        <w:t>-board</w:t>
      </w:r>
      <w:r>
        <w:rPr>
          <w:lang w:val="en-GB"/>
        </w:rPr>
        <w:t xml:space="preserve"> product is regulated by </w:t>
      </w:r>
      <w:r w:rsidR="008D13BD">
        <w:rPr>
          <w:lang w:val="en-GB"/>
        </w:rPr>
        <w:t>timber</w:t>
      </w:r>
      <w:r w:rsidR="00B140D8">
        <w:rPr>
          <w:lang w:val="en-GB"/>
        </w:rPr>
        <w:t>’s</w:t>
      </w:r>
      <w:r w:rsidR="008D13BD">
        <w:rPr>
          <w:lang w:val="en-GB"/>
        </w:rPr>
        <w:t xml:space="preserve"> </w:t>
      </w:r>
      <w:r w:rsidR="00EC65D1">
        <w:rPr>
          <w:lang w:val="en-GB"/>
        </w:rPr>
        <w:t xml:space="preserve">physical and mechanical </w:t>
      </w:r>
      <w:r>
        <w:rPr>
          <w:lang w:val="en-GB"/>
        </w:rPr>
        <w:t>properties to ensure safe operating performances in context specific applications</w:t>
      </w:r>
      <w:r w:rsidR="008D13BD">
        <w:rPr>
          <w:lang w:val="en-GB"/>
        </w:rPr>
        <w:t>. C</w:t>
      </w:r>
      <w:r w:rsidR="00881A1C" w:rsidRPr="00881A1C">
        <w:rPr>
          <w:lang w:val="en-GB"/>
        </w:rPr>
        <w:t xml:space="preserve">ontemporary and emerging timber </w:t>
      </w:r>
      <w:r w:rsidR="00881A1C">
        <w:rPr>
          <w:lang w:val="en-GB"/>
        </w:rPr>
        <w:t xml:space="preserve">resources </w:t>
      </w:r>
      <w:r w:rsidR="006B1369">
        <w:rPr>
          <w:lang w:val="en-GB"/>
        </w:rPr>
        <w:t xml:space="preserve">however, </w:t>
      </w:r>
      <w:r w:rsidR="00881A1C">
        <w:rPr>
          <w:lang w:val="en-GB"/>
        </w:rPr>
        <w:t xml:space="preserve">are lacking the traditional </w:t>
      </w:r>
      <w:r w:rsidR="00881A1C" w:rsidRPr="00881A1C">
        <w:rPr>
          <w:lang w:val="en-GB"/>
        </w:rPr>
        <w:t xml:space="preserve">properties </w:t>
      </w:r>
      <w:r w:rsidR="00881A1C">
        <w:rPr>
          <w:lang w:val="en-GB"/>
        </w:rPr>
        <w:t>of commercially sawn products</w:t>
      </w:r>
      <w:r w:rsidR="003E3C42">
        <w:rPr>
          <w:lang w:val="en-GB"/>
        </w:rPr>
        <w:t>, namely density</w:t>
      </w:r>
      <w:r w:rsidR="00881A1C">
        <w:rPr>
          <w:lang w:val="en-GB"/>
        </w:rPr>
        <w:t>.</w:t>
      </w:r>
      <w:r w:rsidR="000403AC">
        <w:rPr>
          <w:lang w:val="en-GB"/>
        </w:rPr>
        <w:t xml:space="preserve"> One technique used to improve </w:t>
      </w:r>
      <w:r w:rsidR="00EC65D1">
        <w:rPr>
          <w:lang w:val="en-GB"/>
        </w:rPr>
        <w:t xml:space="preserve">timber </w:t>
      </w:r>
      <w:r w:rsidR="000403AC">
        <w:rPr>
          <w:lang w:val="en-GB"/>
        </w:rPr>
        <w:t>properties is densification through thermo-hydro-mechanical (THM) treatments</w:t>
      </w:r>
      <w:r w:rsidR="001018AF">
        <w:rPr>
          <w:lang w:val="en-GB"/>
        </w:rPr>
        <w:t xml:space="preserve"> (</w:t>
      </w:r>
      <w:proofErr w:type="spellStart"/>
      <w:r w:rsidR="00E060DC">
        <w:rPr>
          <w:lang w:val="en-GB"/>
        </w:rPr>
        <w:t>Rautkari</w:t>
      </w:r>
      <w:proofErr w:type="spellEnd"/>
      <w:r w:rsidR="00E060DC">
        <w:rPr>
          <w:lang w:val="en-GB"/>
        </w:rPr>
        <w:t xml:space="preserve"> et al., 2010; Sandberg et al., 2013; 2007)</w:t>
      </w:r>
      <w:r w:rsidR="000403AC">
        <w:rPr>
          <w:lang w:val="en-GB"/>
        </w:rPr>
        <w:t>.</w:t>
      </w:r>
      <w:r w:rsidR="009D6C55">
        <w:rPr>
          <w:lang w:val="en-GB"/>
        </w:rPr>
        <w:t xml:space="preserve"> </w:t>
      </w:r>
      <w:r w:rsidR="000403AC">
        <w:rPr>
          <w:lang w:val="en-GB"/>
        </w:rPr>
        <w:t xml:space="preserve">The objective of this study was to assess the </w:t>
      </w:r>
      <w:r w:rsidR="00EC65D1">
        <w:rPr>
          <w:lang w:val="en-GB"/>
        </w:rPr>
        <w:t xml:space="preserve">change in </w:t>
      </w:r>
      <w:r w:rsidR="00F71459">
        <w:rPr>
          <w:lang w:val="en-GB"/>
        </w:rPr>
        <w:t xml:space="preserve">timber </w:t>
      </w:r>
      <w:r w:rsidR="000403AC">
        <w:rPr>
          <w:lang w:val="en-GB"/>
        </w:rPr>
        <w:t>properties of several Australian wood species densified using a THM treatment</w:t>
      </w:r>
      <w:r w:rsidR="00F71459">
        <w:rPr>
          <w:lang w:val="en-GB"/>
        </w:rPr>
        <w:t xml:space="preserve"> to</w:t>
      </w:r>
      <w:r w:rsidR="004A58C0">
        <w:rPr>
          <w:lang w:val="en-GB"/>
        </w:rPr>
        <w:t xml:space="preserve"> </w:t>
      </w:r>
      <w:r w:rsidR="00F71459">
        <w:rPr>
          <w:lang w:val="en-GB"/>
        </w:rPr>
        <w:t>identify if these modified species could be utilised</w:t>
      </w:r>
      <w:r w:rsidR="004A58C0">
        <w:rPr>
          <w:lang w:val="en-GB"/>
        </w:rPr>
        <w:t xml:space="preserve"> in regulated building </w:t>
      </w:r>
      <w:r w:rsidR="002E775C">
        <w:rPr>
          <w:lang w:val="en-GB"/>
        </w:rPr>
        <w:t>applications</w:t>
      </w:r>
      <w:r w:rsidR="004A58C0">
        <w:rPr>
          <w:lang w:val="en-GB"/>
        </w:rPr>
        <w:t>.</w:t>
      </w:r>
    </w:p>
    <w:p w14:paraId="557483AF" w14:textId="151B02FE" w:rsidR="00CF2AC0" w:rsidRDefault="009C334C" w:rsidP="00CF2AC0">
      <w:pPr>
        <w:pStyle w:val="AbstractBodyText"/>
        <w:rPr>
          <w:lang w:val="en-GB"/>
        </w:rPr>
      </w:pPr>
      <w:r w:rsidRPr="009C334C">
        <w:rPr>
          <w:lang w:val="en-GB"/>
        </w:rPr>
        <w:t>Three</w:t>
      </w:r>
      <w:r>
        <w:rPr>
          <w:lang w:val="en-GB"/>
        </w:rPr>
        <w:t xml:space="preserve"> </w:t>
      </w:r>
      <w:r w:rsidR="00F71459">
        <w:rPr>
          <w:lang w:val="en-GB"/>
        </w:rPr>
        <w:t xml:space="preserve">hardwood species from different forest management schemes </w:t>
      </w:r>
      <w:r>
        <w:rPr>
          <w:lang w:val="en-GB"/>
        </w:rPr>
        <w:t>were tested in this study</w:t>
      </w:r>
      <w:r w:rsidR="00176F8A">
        <w:rPr>
          <w:lang w:val="en-GB"/>
        </w:rPr>
        <w:t>:</w:t>
      </w:r>
      <w:r>
        <w:rPr>
          <w:i/>
          <w:iCs/>
          <w:lang w:val="en-GB"/>
        </w:rPr>
        <w:t xml:space="preserve"> </w:t>
      </w:r>
      <w:proofErr w:type="spellStart"/>
      <w:r w:rsidR="00CF2AC0" w:rsidRPr="008B4C4F">
        <w:rPr>
          <w:i/>
          <w:iCs/>
          <w:lang w:val="en-GB"/>
        </w:rPr>
        <w:t>E</w:t>
      </w:r>
      <w:r w:rsidR="00CF2AC0">
        <w:rPr>
          <w:i/>
          <w:iCs/>
          <w:lang w:val="en-GB"/>
        </w:rPr>
        <w:t>ucalptus</w:t>
      </w:r>
      <w:proofErr w:type="spellEnd"/>
      <w:r w:rsidR="00CF2AC0" w:rsidRPr="008B4C4F">
        <w:rPr>
          <w:i/>
          <w:iCs/>
          <w:lang w:val="en-GB"/>
        </w:rPr>
        <w:t xml:space="preserve"> </w:t>
      </w:r>
      <w:proofErr w:type="spellStart"/>
      <w:r w:rsidR="00CF2AC0" w:rsidRPr="008B4C4F">
        <w:rPr>
          <w:i/>
          <w:iCs/>
          <w:lang w:val="en-GB"/>
        </w:rPr>
        <w:t>obliqua</w:t>
      </w:r>
      <w:proofErr w:type="spellEnd"/>
      <w:r w:rsidR="00CF2AC0">
        <w:rPr>
          <w:lang w:val="en-GB"/>
        </w:rPr>
        <w:t xml:space="preserve">, </w:t>
      </w:r>
      <w:r w:rsidR="00CF2AC0" w:rsidRPr="008B4C4F">
        <w:rPr>
          <w:i/>
          <w:iCs/>
          <w:lang w:val="en-GB"/>
        </w:rPr>
        <w:t>E. nitens,</w:t>
      </w:r>
      <w:r w:rsidR="00CF2AC0">
        <w:rPr>
          <w:lang w:val="en-GB"/>
        </w:rPr>
        <w:t xml:space="preserve"> and </w:t>
      </w:r>
      <w:r w:rsidR="00CF2AC0" w:rsidRPr="008B4C4F">
        <w:rPr>
          <w:i/>
          <w:iCs/>
          <w:lang w:val="en-GB"/>
        </w:rPr>
        <w:t>E. globulus</w:t>
      </w:r>
      <w:r>
        <w:rPr>
          <w:lang w:val="en-GB"/>
        </w:rPr>
        <w:t>.</w:t>
      </w:r>
      <w:r w:rsidRPr="009C334C">
        <w:rPr>
          <w:i/>
          <w:iCs/>
          <w:lang w:val="en-GB"/>
        </w:rPr>
        <w:t xml:space="preserve"> </w:t>
      </w:r>
      <w:r w:rsidRPr="008B4C4F">
        <w:rPr>
          <w:i/>
          <w:iCs/>
          <w:lang w:val="en-GB"/>
        </w:rPr>
        <w:t xml:space="preserve">E. </w:t>
      </w:r>
      <w:proofErr w:type="spellStart"/>
      <w:r w:rsidRPr="008B4C4F">
        <w:rPr>
          <w:i/>
          <w:iCs/>
          <w:lang w:val="en-GB"/>
        </w:rPr>
        <w:t>obliqua</w:t>
      </w:r>
      <w:proofErr w:type="spellEnd"/>
      <w:r>
        <w:rPr>
          <w:lang w:val="en-GB"/>
        </w:rPr>
        <w:t xml:space="preserve"> was sourced from regrowth </w:t>
      </w:r>
      <w:proofErr w:type="spellStart"/>
      <w:r>
        <w:rPr>
          <w:lang w:val="en-GB"/>
        </w:rPr>
        <w:t>sawlog</w:t>
      </w:r>
      <w:proofErr w:type="spellEnd"/>
      <w:r>
        <w:rPr>
          <w:lang w:val="en-GB"/>
        </w:rPr>
        <w:t xml:space="preserve"> (</w:t>
      </w:r>
      <w:proofErr w:type="gramStart"/>
      <w:r>
        <w:rPr>
          <w:lang w:val="en-GB"/>
        </w:rPr>
        <w:t>60</w:t>
      </w:r>
      <w:r w:rsidR="00E00515">
        <w:rPr>
          <w:lang w:val="en-GB"/>
        </w:rPr>
        <w:t xml:space="preserve"> </w:t>
      </w:r>
      <w:r>
        <w:rPr>
          <w:lang w:val="en-GB"/>
        </w:rPr>
        <w:t>year-old</w:t>
      </w:r>
      <w:proofErr w:type="gramEnd"/>
      <w:r>
        <w:rPr>
          <w:lang w:val="en-GB"/>
        </w:rPr>
        <w:t xml:space="preserve">), </w:t>
      </w:r>
      <w:r w:rsidRPr="00CF2AC0">
        <w:rPr>
          <w:i/>
          <w:iCs/>
          <w:lang w:val="en-GB"/>
        </w:rPr>
        <w:t>E. nitens</w:t>
      </w:r>
      <w:r>
        <w:rPr>
          <w:lang w:val="en-GB"/>
        </w:rPr>
        <w:t xml:space="preserve"> from plantation </w:t>
      </w:r>
      <w:proofErr w:type="spellStart"/>
      <w:r>
        <w:rPr>
          <w:lang w:val="en-GB"/>
        </w:rPr>
        <w:t>sawlog</w:t>
      </w:r>
      <w:proofErr w:type="spellEnd"/>
      <w:r>
        <w:rPr>
          <w:lang w:val="en-GB"/>
        </w:rPr>
        <w:t xml:space="preserve"> (26 year-old) and plantation </w:t>
      </w:r>
      <w:proofErr w:type="spellStart"/>
      <w:r>
        <w:rPr>
          <w:lang w:val="en-GB"/>
        </w:rPr>
        <w:t>pulplog</w:t>
      </w:r>
      <w:proofErr w:type="spellEnd"/>
      <w:r>
        <w:rPr>
          <w:lang w:val="en-GB"/>
        </w:rPr>
        <w:t xml:space="preserve"> (16 year-old) and </w:t>
      </w:r>
      <w:r w:rsidRPr="00CF2AC0">
        <w:rPr>
          <w:i/>
          <w:iCs/>
          <w:lang w:val="en-GB"/>
        </w:rPr>
        <w:t>E. globulus</w:t>
      </w:r>
      <w:r>
        <w:rPr>
          <w:lang w:val="en-GB"/>
        </w:rPr>
        <w:t xml:space="preserve"> from plantation </w:t>
      </w:r>
      <w:proofErr w:type="spellStart"/>
      <w:r>
        <w:rPr>
          <w:lang w:val="en-GB"/>
        </w:rPr>
        <w:t>pulplog</w:t>
      </w:r>
      <w:proofErr w:type="spellEnd"/>
      <w:r>
        <w:rPr>
          <w:lang w:val="en-GB"/>
        </w:rPr>
        <w:t xml:space="preserve"> (26 year-old). </w:t>
      </w:r>
      <w:r w:rsidR="00CF2AC0" w:rsidRPr="00533A74">
        <w:rPr>
          <w:rFonts w:hint="eastAsia"/>
          <w:lang w:val="en-GB"/>
        </w:rPr>
        <w:t xml:space="preserve">Australian Standard </w:t>
      </w:r>
      <w:r w:rsidR="00E00515">
        <w:rPr>
          <w:lang w:val="en-GB"/>
        </w:rPr>
        <w:t>(AS)</w:t>
      </w:r>
      <w:r w:rsidR="00E060DC">
        <w:rPr>
          <w:lang w:val="en-GB"/>
        </w:rPr>
        <w:t xml:space="preserve"> </w:t>
      </w:r>
      <w:r w:rsidR="00CF2AC0" w:rsidRPr="00533A74">
        <w:rPr>
          <w:rFonts w:hint="eastAsia"/>
          <w:lang w:val="en-GB"/>
        </w:rPr>
        <w:t>3959</w:t>
      </w:r>
      <w:r w:rsidR="00E060DC">
        <w:rPr>
          <w:lang w:val="en-GB"/>
        </w:rPr>
        <w:t>:2018</w:t>
      </w:r>
      <w:r w:rsidR="00CF2AC0" w:rsidRPr="00533A74">
        <w:rPr>
          <w:rFonts w:hint="eastAsia"/>
          <w:lang w:val="en-GB"/>
        </w:rPr>
        <w:t>—</w:t>
      </w:r>
      <w:r w:rsidR="00CF2AC0" w:rsidRPr="00533A74">
        <w:rPr>
          <w:rFonts w:hint="eastAsia"/>
          <w:lang w:val="en-GB"/>
        </w:rPr>
        <w:t>Construction of buildings in bushfire-prone areas</w:t>
      </w:r>
      <w:r w:rsidR="00CF2AC0" w:rsidRPr="00533A74">
        <w:rPr>
          <w:rFonts w:hint="eastAsia"/>
          <w:lang w:val="en-GB"/>
        </w:rPr>
        <w:t>—</w:t>
      </w:r>
      <w:r w:rsidR="00CF2AC0" w:rsidRPr="00533A74">
        <w:rPr>
          <w:rFonts w:hint="eastAsia"/>
          <w:lang w:val="en-GB"/>
        </w:rPr>
        <w:t xml:space="preserve">states </w:t>
      </w:r>
      <w:r w:rsidR="00CF2AC0" w:rsidRPr="00533A74">
        <w:rPr>
          <w:rFonts w:hint="eastAsia"/>
          <w:i/>
          <w:iCs/>
          <w:lang w:val="en-GB"/>
        </w:rPr>
        <w:t>E</w:t>
      </w:r>
      <w:r>
        <w:rPr>
          <w:i/>
          <w:iCs/>
          <w:lang w:val="en-GB"/>
        </w:rPr>
        <w:t>.</w:t>
      </w:r>
      <w:r w:rsidR="00CF2AC0" w:rsidRPr="00533A74">
        <w:rPr>
          <w:rFonts w:hint="eastAsia"/>
          <w:i/>
          <w:iCs/>
          <w:lang w:val="en-GB"/>
        </w:rPr>
        <w:t xml:space="preserve"> </w:t>
      </w:r>
      <w:proofErr w:type="spellStart"/>
      <w:r w:rsidR="00CF2AC0" w:rsidRPr="00533A74">
        <w:rPr>
          <w:i/>
          <w:iCs/>
          <w:lang w:val="en-GB"/>
        </w:rPr>
        <w:t>obliqua</w:t>
      </w:r>
      <w:proofErr w:type="spellEnd"/>
      <w:r w:rsidR="00CF2AC0" w:rsidRPr="00533A74">
        <w:rPr>
          <w:rFonts w:hint="eastAsia"/>
          <w:lang w:val="en-GB"/>
        </w:rPr>
        <w:t xml:space="preserve"> </w:t>
      </w:r>
      <w:r w:rsidR="00CF2AC0">
        <w:rPr>
          <w:lang w:val="en-GB"/>
        </w:rPr>
        <w:t xml:space="preserve">and </w:t>
      </w:r>
      <w:r w:rsidR="00CF2AC0" w:rsidRPr="00CF2AC0">
        <w:rPr>
          <w:i/>
          <w:iCs/>
          <w:lang w:val="en-GB"/>
        </w:rPr>
        <w:t>E. globulus</w:t>
      </w:r>
      <w:r w:rsidR="00CF2AC0">
        <w:rPr>
          <w:lang w:val="en-GB"/>
        </w:rPr>
        <w:t xml:space="preserve"> </w:t>
      </w:r>
      <w:r w:rsidR="00CF2AC0" w:rsidRPr="00533A74">
        <w:rPr>
          <w:rFonts w:hint="eastAsia"/>
          <w:lang w:val="en-GB"/>
        </w:rPr>
        <w:t xml:space="preserve">is suitable for general construction with a density </w:t>
      </w:r>
      <w:r w:rsidR="00CF2AC0" w:rsidRPr="00BC50C8">
        <w:rPr>
          <w:rFonts w:asciiTheme="majorBidi" w:hAnsiTheme="majorBidi" w:cstheme="majorBidi"/>
          <w:lang w:val="en-GB"/>
        </w:rPr>
        <w:t>≥</w:t>
      </w:r>
      <w:r w:rsidR="00CF2AC0" w:rsidRPr="00533A74">
        <w:rPr>
          <w:rFonts w:hint="eastAsia"/>
          <w:lang w:val="en-GB"/>
        </w:rPr>
        <w:t>750kg/m</w:t>
      </w:r>
      <w:r w:rsidR="00CF2AC0" w:rsidRPr="00533A74">
        <w:rPr>
          <w:rFonts w:hint="eastAsia"/>
          <w:vertAlign w:val="superscript"/>
          <w:lang w:val="en-GB"/>
        </w:rPr>
        <w:t xml:space="preserve">3 </w:t>
      </w:r>
      <w:r w:rsidR="00CF2AC0" w:rsidRPr="00533A74">
        <w:rPr>
          <w:rFonts w:hint="eastAsia"/>
          <w:lang w:val="en-GB"/>
        </w:rPr>
        <w:t xml:space="preserve">and </w:t>
      </w:r>
      <w:r w:rsidR="00CF2AC0" w:rsidRPr="00533A74">
        <w:rPr>
          <w:rFonts w:hint="eastAsia"/>
          <w:i/>
          <w:iCs/>
          <w:lang w:val="en-GB"/>
        </w:rPr>
        <w:t>E. nitens</w:t>
      </w:r>
      <w:r w:rsidR="00CF2AC0" w:rsidRPr="00CF2AC0">
        <w:rPr>
          <w:lang w:val="en-GB"/>
        </w:rPr>
        <w:t>,</w:t>
      </w:r>
      <w:r w:rsidR="00CF2AC0">
        <w:rPr>
          <w:i/>
          <w:iCs/>
          <w:lang w:val="en-GB"/>
        </w:rPr>
        <w:t xml:space="preserve"> </w:t>
      </w:r>
      <w:r w:rsidR="00CF2AC0" w:rsidRPr="00533A74">
        <w:rPr>
          <w:rFonts w:hint="eastAsia"/>
          <w:lang w:val="en-GB"/>
        </w:rPr>
        <w:t xml:space="preserve">is suitable for </w:t>
      </w:r>
      <w:r w:rsidR="00CF2AC0">
        <w:rPr>
          <w:lang w:val="en-GB"/>
        </w:rPr>
        <w:t xml:space="preserve">window and door </w:t>
      </w:r>
      <w:r w:rsidR="00CF2AC0" w:rsidRPr="00533A74">
        <w:rPr>
          <w:rFonts w:hint="eastAsia"/>
          <w:lang w:val="en-GB"/>
        </w:rPr>
        <w:t xml:space="preserve">joinery with a density </w:t>
      </w:r>
      <w:r w:rsidR="00CF2AC0" w:rsidRPr="00BC50C8">
        <w:rPr>
          <w:rFonts w:asciiTheme="majorBidi" w:hAnsiTheme="majorBidi" w:cstheme="majorBidi"/>
          <w:lang w:val="en-GB"/>
        </w:rPr>
        <w:t>≥</w:t>
      </w:r>
      <w:r w:rsidR="00CF2AC0" w:rsidRPr="00533A74">
        <w:rPr>
          <w:rFonts w:hint="eastAsia"/>
          <w:lang w:val="en-GB"/>
        </w:rPr>
        <w:t>650kg/m</w:t>
      </w:r>
      <w:r w:rsidR="00CF2AC0" w:rsidRPr="00533A74">
        <w:rPr>
          <w:rFonts w:hint="eastAsia"/>
          <w:vertAlign w:val="superscript"/>
          <w:lang w:val="en-GB"/>
        </w:rPr>
        <w:t>3</w:t>
      </w:r>
      <w:r w:rsidR="00CF2AC0" w:rsidRPr="00533A74">
        <w:rPr>
          <w:rFonts w:hint="eastAsia"/>
          <w:lang w:val="en-GB"/>
        </w:rPr>
        <w:t>.</w:t>
      </w:r>
    </w:p>
    <w:p w14:paraId="7E3F1572" w14:textId="22F88E35" w:rsidR="00300C18" w:rsidRDefault="00300C18" w:rsidP="00470C84">
      <w:pPr>
        <w:pStyle w:val="AbstractBodyText"/>
        <w:rPr>
          <w:lang w:val="en-GB"/>
        </w:rPr>
      </w:pPr>
      <w:r>
        <w:rPr>
          <w:lang w:val="en-GB"/>
        </w:rPr>
        <w:t xml:space="preserve">Air-dry </w:t>
      </w:r>
      <w:r w:rsidR="00176F8A">
        <w:rPr>
          <w:lang w:val="en-GB"/>
        </w:rPr>
        <w:t xml:space="preserve">densities measured from </w:t>
      </w:r>
      <w:r w:rsidR="009C334C">
        <w:rPr>
          <w:lang w:val="en-GB"/>
        </w:rPr>
        <w:t>each specie</w:t>
      </w:r>
      <w:r w:rsidR="00176F8A">
        <w:rPr>
          <w:lang w:val="en-GB"/>
        </w:rPr>
        <w:t xml:space="preserve">, according to their </w:t>
      </w:r>
      <w:r w:rsidR="00793376">
        <w:rPr>
          <w:lang w:val="en-GB"/>
        </w:rPr>
        <w:t>respective</w:t>
      </w:r>
      <w:r w:rsidR="001B52B5">
        <w:rPr>
          <w:lang w:val="en-GB"/>
        </w:rPr>
        <w:t xml:space="preserve"> </w:t>
      </w:r>
      <w:r w:rsidR="009C334C">
        <w:rPr>
          <w:lang w:val="en-GB"/>
        </w:rPr>
        <w:t xml:space="preserve">forest management scheme, suggest sawn-board product from these resources are lower in density than required </w:t>
      </w:r>
      <w:r w:rsidR="001B52B5">
        <w:rPr>
          <w:lang w:val="en-GB"/>
        </w:rPr>
        <w:t>for use in building construction in bushfire prone areas</w:t>
      </w:r>
      <w:r w:rsidR="006B1369">
        <w:rPr>
          <w:lang w:val="en-GB"/>
        </w:rPr>
        <w:t xml:space="preserve">; </w:t>
      </w:r>
      <w:r w:rsidR="006B1369" w:rsidRPr="008B4C4F">
        <w:rPr>
          <w:i/>
          <w:iCs/>
          <w:lang w:val="en-GB"/>
        </w:rPr>
        <w:t xml:space="preserve">E. </w:t>
      </w:r>
      <w:proofErr w:type="spellStart"/>
      <w:r w:rsidR="006B1369" w:rsidRPr="008B4C4F">
        <w:rPr>
          <w:i/>
          <w:iCs/>
          <w:lang w:val="en-GB"/>
        </w:rPr>
        <w:t>obliqua</w:t>
      </w:r>
      <w:proofErr w:type="spellEnd"/>
      <w:r w:rsidR="006B1369">
        <w:rPr>
          <w:i/>
          <w:iCs/>
          <w:lang w:val="en-GB"/>
        </w:rPr>
        <w:t xml:space="preserve"> </w:t>
      </w:r>
      <w:r w:rsidR="006B1369" w:rsidRPr="006B1369">
        <w:rPr>
          <w:rFonts w:asciiTheme="majorBidi" w:hAnsiTheme="majorBidi" w:cstheme="majorBidi"/>
          <w:color w:val="222222"/>
          <w:shd w:val="clear" w:color="auto" w:fill="FFFFFF"/>
        </w:rPr>
        <w:t>~59</w:t>
      </w:r>
      <w:r>
        <w:rPr>
          <w:rFonts w:asciiTheme="majorBidi" w:hAnsiTheme="majorBidi" w:cstheme="majorBidi"/>
          <w:color w:val="222222"/>
          <w:shd w:val="clear" w:color="auto" w:fill="FFFFFF"/>
        </w:rPr>
        <w:t>5</w:t>
      </w:r>
      <w:r w:rsidR="006B1369" w:rsidRPr="006B1369">
        <w:rPr>
          <w:rFonts w:hint="eastAsia"/>
          <w:lang w:val="en-GB"/>
        </w:rPr>
        <w:t xml:space="preserve"> </w:t>
      </w:r>
      <w:r w:rsidR="006B1369" w:rsidRPr="00533A74">
        <w:rPr>
          <w:rFonts w:hint="eastAsia"/>
          <w:lang w:val="en-GB"/>
        </w:rPr>
        <w:t>kg/m</w:t>
      </w:r>
      <w:r w:rsidR="006B1369" w:rsidRPr="00533A74">
        <w:rPr>
          <w:rFonts w:hint="eastAsia"/>
          <w:vertAlign w:val="superscript"/>
          <w:lang w:val="en-GB"/>
        </w:rPr>
        <w:t>3</w:t>
      </w:r>
      <w:r w:rsidR="006B1369">
        <w:rPr>
          <w:i/>
          <w:iCs/>
          <w:lang w:val="en-GB"/>
        </w:rPr>
        <w:t xml:space="preserve">, </w:t>
      </w:r>
      <w:r w:rsidR="00C2060C" w:rsidRPr="008B4C4F">
        <w:rPr>
          <w:i/>
          <w:iCs/>
          <w:lang w:val="en-GB"/>
        </w:rPr>
        <w:t>E. nitens</w:t>
      </w:r>
      <w:r w:rsidR="00C2060C">
        <w:rPr>
          <w:i/>
          <w:iCs/>
          <w:lang w:val="en-GB"/>
        </w:rPr>
        <w:t xml:space="preserve"> </w:t>
      </w:r>
      <w:r w:rsidR="00C2060C" w:rsidRPr="00300C18">
        <w:rPr>
          <w:lang w:val="en-GB"/>
        </w:rPr>
        <w:t>(</w:t>
      </w:r>
      <w:proofErr w:type="spellStart"/>
      <w:r w:rsidR="00C2060C" w:rsidRPr="00300C18">
        <w:rPr>
          <w:lang w:val="en-GB"/>
        </w:rPr>
        <w:t>sawlog</w:t>
      </w:r>
      <w:proofErr w:type="spellEnd"/>
      <w:r w:rsidR="00C2060C" w:rsidRPr="00300C18">
        <w:rPr>
          <w:lang w:val="en-GB"/>
        </w:rPr>
        <w:t>)</w:t>
      </w:r>
      <w:r w:rsidR="00C2060C">
        <w:rPr>
          <w:i/>
          <w:iCs/>
          <w:lang w:val="en-GB"/>
        </w:rPr>
        <w:t xml:space="preserve"> </w:t>
      </w:r>
      <w:r w:rsidR="00C2060C" w:rsidRPr="006B1369">
        <w:rPr>
          <w:rFonts w:asciiTheme="majorBidi" w:hAnsiTheme="majorBidi" w:cstheme="majorBidi"/>
          <w:color w:val="222222"/>
          <w:shd w:val="clear" w:color="auto" w:fill="FFFFFF"/>
        </w:rPr>
        <w:t>~5</w:t>
      </w:r>
      <w:r w:rsidR="00C2060C">
        <w:rPr>
          <w:rFonts w:asciiTheme="majorBidi" w:hAnsiTheme="majorBidi" w:cstheme="majorBidi"/>
          <w:color w:val="222222"/>
          <w:shd w:val="clear" w:color="auto" w:fill="FFFFFF"/>
        </w:rPr>
        <w:t>6</w:t>
      </w:r>
      <w:r w:rsidR="00C2060C" w:rsidRPr="006B1369">
        <w:rPr>
          <w:rFonts w:asciiTheme="majorBidi" w:hAnsiTheme="majorBidi" w:cstheme="majorBidi"/>
          <w:color w:val="222222"/>
          <w:shd w:val="clear" w:color="auto" w:fill="FFFFFF"/>
        </w:rPr>
        <w:t>0</w:t>
      </w:r>
      <w:r w:rsidR="00C2060C" w:rsidRPr="006B1369">
        <w:rPr>
          <w:rFonts w:hint="eastAsia"/>
          <w:lang w:val="en-GB"/>
        </w:rPr>
        <w:t xml:space="preserve"> </w:t>
      </w:r>
      <w:r w:rsidR="00C2060C" w:rsidRPr="00533A74">
        <w:rPr>
          <w:rFonts w:hint="eastAsia"/>
          <w:lang w:val="en-GB"/>
        </w:rPr>
        <w:t>kg/</w:t>
      </w:r>
      <w:r w:rsidR="00C2060C" w:rsidRPr="00C2060C">
        <w:rPr>
          <w:rFonts w:hint="eastAsia"/>
          <w:lang w:val="en-GB"/>
        </w:rPr>
        <w:t>m</w:t>
      </w:r>
      <w:r w:rsidR="00C2060C" w:rsidRPr="00C2060C">
        <w:rPr>
          <w:rFonts w:hint="eastAsia"/>
          <w:vertAlign w:val="superscript"/>
          <w:lang w:val="en-GB"/>
        </w:rPr>
        <w:t>3</w:t>
      </w:r>
      <w:r w:rsidR="00C2060C">
        <w:rPr>
          <w:lang w:val="en-GB"/>
        </w:rPr>
        <w:t xml:space="preserve">, </w:t>
      </w:r>
      <w:r w:rsidR="006B1369" w:rsidRPr="00C2060C">
        <w:rPr>
          <w:i/>
          <w:iCs/>
          <w:lang w:val="en-GB"/>
        </w:rPr>
        <w:t>E</w:t>
      </w:r>
      <w:r w:rsidR="006B1369" w:rsidRPr="008B4C4F">
        <w:rPr>
          <w:i/>
          <w:iCs/>
          <w:lang w:val="en-GB"/>
        </w:rPr>
        <w:t>. nitens</w:t>
      </w:r>
      <w:r w:rsidR="006B1369">
        <w:rPr>
          <w:i/>
          <w:iCs/>
          <w:lang w:val="en-GB"/>
        </w:rPr>
        <w:t xml:space="preserve"> </w:t>
      </w:r>
      <w:r w:rsidR="006B1369" w:rsidRPr="006B1369">
        <w:rPr>
          <w:rFonts w:asciiTheme="majorBidi" w:hAnsiTheme="majorBidi" w:cstheme="majorBidi"/>
          <w:color w:val="222222"/>
          <w:shd w:val="clear" w:color="auto" w:fill="FFFFFF"/>
        </w:rPr>
        <w:t>~5</w:t>
      </w:r>
      <w:r w:rsidR="006B1369">
        <w:rPr>
          <w:rFonts w:asciiTheme="majorBidi" w:hAnsiTheme="majorBidi" w:cstheme="majorBidi"/>
          <w:color w:val="222222"/>
          <w:shd w:val="clear" w:color="auto" w:fill="FFFFFF"/>
        </w:rPr>
        <w:t>2</w:t>
      </w:r>
      <w:r>
        <w:rPr>
          <w:rFonts w:asciiTheme="majorBidi" w:hAnsiTheme="majorBidi" w:cstheme="majorBidi"/>
          <w:color w:val="222222"/>
          <w:shd w:val="clear" w:color="auto" w:fill="FFFFFF"/>
        </w:rPr>
        <w:t>5</w:t>
      </w:r>
      <w:r w:rsidR="006B1369" w:rsidRPr="006B1369">
        <w:rPr>
          <w:rFonts w:hint="eastAsia"/>
          <w:lang w:val="en-GB"/>
        </w:rPr>
        <w:t xml:space="preserve"> </w:t>
      </w:r>
      <w:r w:rsidR="006B1369" w:rsidRPr="00533A74">
        <w:rPr>
          <w:rFonts w:hint="eastAsia"/>
          <w:lang w:val="en-GB"/>
        </w:rPr>
        <w:t>kg/m</w:t>
      </w:r>
      <w:r w:rsidR="006B1369" w:rsidRPr="00533A74">
        <w:rPr>
          <w:rFonts w:hint="eastAsia"/>
          <w:vertAlign w:val="superscript"/>
          <w:lang w:val="en-GB"/>
        </w:rPr>
        <w:t>3</w:t>
      </w:r>
      <w:r w:rsidRPr="00300C18">
        <w:rPr>
          <w:i/>
          <w:iCs/>
          <w:lang w:val="en-GB"/>
        </w:rPr>
        <w:t xml:space="preserve"> </w:t>
      </w:r>
      <w:r w:rsidR="006B1369">
        <w:rPr>
          <w:lang w:val="en-GB"/>
        </w:rPr>
        <w:t xml:space="preserve">and </w:t>
      </w:r>
      <w:r w:rsidR="006B1369" w:rsidRPr="008B4C4F">
        <w:rPr>
          <w:i/>
          <w:iCs/>
          <w:lang w:val="en-GB"/>
        </w:rPr>
        <w:t>E. globulus</w:t>
      </w:r>
      <w:r>
        <w:rPr>
          <w:i/>
          <w:iCs/>
          <w:lang w:val="en-GB"/>
        </w:rPr>
        <w:t xml:space="preserve"> </w:t>
      </w:r>
      <w:r w:rsidRPr="006B1369">
        <w:rPr>
          <w:rFonts w:asciiTheme="majorBidi" w:hAnsiTheme="majorBidi" w:cstheme="majorBidi"/>
          <w:color w:val="222222"/>
          <w:shd w:val="clear" w:color="auto" w:fill="FFFFFF"/>
        </w:rPr>
        <w:t>~5</w:t>
      </w:r>
      <w:r>
        <w:rPr>
          <w:rFonts w:asciiTheme="majorBidi" w:hAnsiTheme="majorBidi" w:cstheme="majorBidi"/>
          <w:color w:val="222222"/>
          <w:shd w:val="clear" w:color="auto" w:fill="FFFFFF"/>
        </w:rPr>
        <w:t>2</w:t>
      </w:r>
      <w:r w:rsidRPr="006B1369">
        <w:rPr>
          <w:rFonts w:asciiTheme="majorBidi" w:hAnsiTheme="majorBidi" w:cstheme="majorBidi"/>
          <w:color w:val="222222"/>
          <w:shd w:val="clear" w:color="auto" w:fill="FFFFFF"/>
        </w:rPr>
        <w:t>0</w:t>
      </w:r>
      <w:r w:rsidRPr="006B1369">
        <w:rPr>
          <w:rFonts w:hint="eastAsia"/>
          <w:lang w:val="en-GB"/>
        </w:rPr>
        <w:t xml:space="preserve"> </w:t>
      </w:r>
      <w:r w:rsidRPr="00533A74">
        <w:rPr>
          <w:rFonts w:hint="eastAsia"/>
          <w:lang w:val="en-GB"/>
        </w:rPr>
        <w:t>kg/m</w:t>
      </w:r>
      <w:r w:rsidRPr="00533A74">
        <w:rPr>
          <w:rFonts w:hint="eastAsia"/>
          <w:vertAlign w:val="superscript"/>
          <w:lang w:val="en-GB"/>
        </w:rPr>
        <w:t>3</w:t>
      </w:r>
      <w:r w:rsidR="001B52B5">
        <w:rPr>
          <w:lang w:val="en-GB"/>
        </w:rPr>
        <w:t xml:space="preserve">. </w:t>
      </w:r>
      <w:r w:rsidR="00176F8A">
        <w:rPr>
          <w:lang w:val="en-GB"/>
        </w:rPr>
        <w:t>By using the THM treatment, s</w:t>
      </w:r>
      <w:r w:rsidR="0089432D">
        <w:rPr>
          <w:lang w:val="en-GB"/>
        </w:rPr>
        <w:t xml:space="preserve">amples were densified to 67% and 53% </w:t>
      </w:r>
      <w:r w:rsidR="00793376">
        <w:rPr>
          <w:lang w:val="en-GB"/>
        </w:rPr>
        <w:t xml:space="preserve">of their original thickness </w:t>
      </w:r>
      <w:r w:rsidR="00B140D8">
        <w:rPr>
          <w:lang w:val="en-GB"/>
        </w:rPr>
        <w:t xml:space="preserve">(15mm) </w:t>
      </w:r>
      <w:r w:rsidR="00793376">
        <w:rPr>
          <w:lang w:val="en-GB"/>
        </w:rPr>
        <w:t xml:space="preserve">to </w:t>
      </w:r>
      <w:r w:rsidR="00176F8A">
        <w:rPr>
          <w:lang w:val="en-GB"/>
        </w:rPr>
        <w:t xml:space="preserve">demonstrate </w:t>
      </w:r>
      <w:r w:rsidR="008D13BD">
        <w:rPr>
          <w:lang w:val="en-GB"/>
        </w:rPr>
        <w:t>modifi</w:t>
      </w:r>
      <w:r w:rsidR="00793376">
        <w:rPr>
          <w:lang w:val="en-GB"/>
        </w:rPr>
        <w:t>ed</w:t>
      </w:r>
      <w:r w:rsidR="008D13BD">
        <w:rPr>
          <w:lang w:val="en-GB"/>
        </w:rPr>
        <w:t xml:space="preserve"> </w:t>
      </w:r>
      <w:r w:rsidR="00793376">
        <w:rPr>
          <w:lang w:val="en-GB"/>
        </w:rPr>
        <w:t xml:space="preserve">sawn-board can meet </w:t>
      </w:r>
      <w:r w:rsidR="00E00515">
        <w:rPr>
          <w:lang w:val="en-GB"/>
        </w:rPr>
        <w:t>AS</w:t>
      </w:r>
      <w:r w:rsidR="00793376">
        <w:rPr>
          <w:lang w:val="en-GB"/>
        </w:rPr>
        <w:t xml:space="preserve"> for use in construction and joinery</w:t>
      </w:r>
      <w:r>
        <w:rPr>
          <w:lang w:val="en-GB"/>
        </w:rPr>
        <w:t xml:space="preserve">; </w:t>
      </w:r>
      <w:r w:rsidRPr="008B4C4F">
        <w:rPr>
          <w:i/>
          <w:iCs/>
          <w:lang w:val="en-GB"/>
        </w:rPr>
        <w:t xml:space="preserve">E. </w:t>
      </w:r>
      <w:proofErr w:type="spellStart"/>
      <w:r w:rsidRPr="008B4C4F">
        <w:rPr>
          <w:i/>
          <w:iCs/>
          <w:lang w:val="en-GB"/>
        </w:rPr>
        <w:t>obliqua</w:t>
      </w:r>
      <w:proofErr w:type="spellEnd"/>
      <w:r>
        <w:rPr>
          <w:i/>
          <w:iCs/>
          <w:lang w:val="en-GB"/>
        </w:rPr>
        <w:t xml:space="preserve"> </w:t>
      </w:r>
      <w:r w:rsidRPr="006B1369">
        <w:rPr>
          <w:rFonts w:asciiTheme="majorBidi" w:hAnsiTheme="majorBidi" w:cstheme="majorBidi"/>
          <w:color w:val="222222"/>
          <w:shd w:val="clear" w:color="auto" w:fill="FFFFFF"/>
        </w:rPr>
        <w:t>~</w:t>
      </w:r>
      <w:r>
        <w:rPr>
          <w:rFonts w:asciiTheme="majorBidi" w:hAnsiTheme="majorBidi" w:cstheme="majorBidi"/>
          <w:color w:val="222222"/>
          <w:shd w:val="clear" w:color="auto" w:fill="FFFFFF"/>
        </w:rPr>
        <w:t>875</w:t>
      </w:r>
      <w:r w:rsidRPr="006B1369">
        <w:rPr>
          <w:rFonts w:hint="eastAsia"/>
          <w:lang w:val="en-GB"/>
        </w:rPr>
        <w:t xml:space="preserve"> </w:t>
      </w:r>
      <w:r w:rsidRPr="00533A74">
        <w:rPr>
          <w:rFonts w:hint="eastAsia"/>
          <w:lang w:val="en-GB"/>
        </w:rPr>
        <w:t>kg/m</w:t>
      </w:r>
      <w:r w:rsidRPr="00533A74">
        <w:rPr>
          <w:rFonts w:hint="eastAsia"/>
          <w:vertAlign w:val="superscript"/>
          <w:lang w:val="en-GB"/>
        </w:rPr>
        <w:t>3</w:t>
      </w:r>
      <w:r>
        <w:rPr>
          <w:vertAlign w:val="superscript"/>
          <w:lang w:val="en-GB"/>
        </w:rPr>
        <w:t xml:space="preserve"> </w:t>
      </w:r>
      <w:r>
        <w:rPr>
          <w:lang w:val="en-GB"/>
        </w:rPr>
        <w:t xml:space="preserve">and </w:t>
      </w:r>
      <w:r w:rsidRPr="006B1369">
        <w:rPr>
          <w:rFonts w:asciiTheme="majorBidi" w:hAnsiTheme="majorBidi" w:cstheme="majorBidi"/>
          <w:color w:val="222222"/>
          <w:shd w:val="clear" w:color="auto" w:fill="FFFFFF"/>
        </w:rPr>
        <w:t>~</w:t>
      </w:r>
      <w:r>
        <w:rPr>
          <w:rFonts w:asciiTheme="majorBidi" w:hAnsiTheme="majorBidi" w:cstheme="majorBidi"/>
          <w:color w:val="222222"/>
          <w:shd w:val="clear" w:color="auto" w:fill="FFFFFF"/>
        </w:rPr>
        <w:t>980</w:t>
      </w:r>
      <w:r w:rsidRPr="006B1369">
        <w:rPr>
          <w:rFonts w:hint="eastAsia"/>
          <w:lang w:val="en-GB"/>
        </w:rPr>
        <w:t xml:space="preserve"> </w:t>
      </w:r>
      <w:r w:rsidRPr="00533A74">
        <w:rPr>
          <w:rFonts w:hint="eastAsia"/>
          <w:lang w:val="en-GB"/>
        </w:rPr>
        <w:t>kg/m</w:t>
      </w:r>
      <w:r w:rsidRPr="00533A74">
        <w:rPr>
          <w:rFonts w:hint="eastAsia"/>
          <w:vertAlign w:val="superscript"/>
          <w:lang w:val="en-GB"/>
        </w:rPr>
        <w:t>3</w:t>
      </w:r>
      <w:r>
        <w:rPr>
          <w:i/>
          <w:iCs/>
          <w:lang w:val="en-GB"/>
        </w:rPr>
        <w:t xml:space="preserve">, </w:t>
      </w:r>
      <w:r w:rsidRPr="008B4C4F">
        <w:rPr>
          <w:i/>
          <w:iCs/>
          <w:lang w:val="en-GB"/>
        </w:rPr>
        <w:t>E. nitens</w:t>
      </w:r>
      <w:r>
        <w:rPr>
          <w:i/>
          <w:iCs/>
          <w:lang w:val="en-GB"/>
        </w:rPr>
        <w:t xml:space="preserve"> </w:t>
      </w:r>
      <w:r w:rsidRPr="00300C18">
        <w:rPr>
          <w:lang w:val="en-GB"/>
        </w:rPr>
        <w:t>(</w:t>
      </w:r>
      <w:proofErr w:type="spellStart"/>
      <w:r w:rsidRPr="00300C18">
        <w:rPr>
          <w:lang w:val="en-GB"/>
        </w:rPr>
        <w:t>sawlog</w:t>
      </w:r>
      <w:proofErr w:type="spellEnd"/>
      <w:r w:rsidRPr="00300C18">
        <w:rPr>
          <w:lang w:val="en-GB"/>
        </w:rPr>
        <w:t>)</w:t>
      </w:r>
      <w:r>
        <w:rPr>
          <w:i/>
          <w:iCs/>
          <w:lang w:val="en-GB"/>
        </w:rPr>
        <w:t xml:space="preserve"> </w:t>
      </w:r>
      <w:r w:rsidRPr="006B1369">
        <w:rPr>
          <w:rFonts w:asciiTheme="majorBidi" w:hAnsiTheme="majorBidi" w:cstheme="majorBidi"/>
          <w:color w:val="222222"/>
          <w:shd w:val="clear" w:color="auto" w:fill="FFFFFF"/>
        </w:rPr>
        <w:t>~</w:t>
      </w:r>
      <w:r>
        <w:rPr>
          <w:rFonts w:asciiTheme="majorBidi" w:hAnsiTheme="majorBidi" w:cstheme="majorBidi"/>
          <w:color w:val="222222"/>
          <w:shd w:val="clear" w:color="auto" w:fill="FFFFFF"/>
        </w:rPr>
        <w:t>775</w:t>
      </w:r>
      <w:r w:rsidRPr="006B1369">
        <w:rPr>
          <w:rFonts w:hint="eastAsia"/>
          <w:lang w:val="en-GB"/>
        </w:rPr>
        <w:t xml:space="preserve"> </w:t>
      </w:r>
      <w:r w:rsidRPr="00533A74">
        <w:rPr>
          <w:rFonts w:hint="eastAsia"/>
          <w:lang w:val="en-GB"/>
        </w:rPr>
        <w:t>kg/m</w:t>
      </w:r>
      <w:r w:rsidRPr="00533A74">
        <w:rPr>
          <w:rFonts w:hint="eastAsia"/>
          <w:vertAlign w:val="superscript"/>
          <w:lang w:val="en-GB"/>
        </w:rPr>
        <w:t>3</w:t>
      </w:r>
      <w:r>
        <w:rPr>
          <w:vertAlign w:val="superscript"/>
          <w:lang w:val="en-GB"/>
        </w:rPr>
        <w:t xml:space="preserve"> </w:t>
      </w:r>
      <w:r>
        <w:rPr>
          <w:lang w:val="en-GB"/>
        </w:rPr>
        <w:t xml:space="preserve">and </w:t>
      </w:r>
      <w:r w:rsidRPr="006B1369">
        <w:rPr>
          <w:rFonts w:asciiTheme="majorBidi" w:hAnsiTheme="majorBidi" w:cstheme="majorBidi"/>
          <w:color w:val="222222"/>
          <w:shd w:val="clear" w:color="auto" w:fill="FFFFFF"/>
        </w:rPr>
        <w:t>~</w:t>
      </w:r>
      <w:r>
        <w:rPr>
          <w:rFonts w:asciiTheme="majorBidi" w:hAnsiTheme="majorBidi" w:cstheme="majorBidi"/>
          <w:color w:val="222222"/>
          <w:shd w:val="clear" w:color="auto" w:fill="FFFFFF"/>
        </w:rPr>
        <w:t>1015</w:t>
      </w:r>
      <w:r w:rsidRPr="006B1369">
        <w:rPr>
          <w:rFonts w:hint="eastAsia"/>
          <w:lang w:val="en-GB"/>
        </w:rPr>
        <w:t xml:space="preserve"> </w:t>
      </w:r>
      <w:r w:rsidRPr="00533A74">
        <w:rPr>
          <w:rFonts w:hint="eastAsia"/>
          <w:lang w:val="en-GB"/>
        </w:rPr>
        <w:t>kg/m</w:t>
      </w:r>
      <w:r w:rsidRPr="00533A74">
        <w:rPr>
          <w:rFonts w:hint="eastAsia"/>
          <w:vertAlign w:val="superscript"/>
          <w:lang w:val="en-GB"/>
        </w:rPr>
        <w:t>3</w:t>
      </w:r>
      <w:r>
        <w:rPr>
          <w:i/>
          <w:iCs/>
          <w:lang w:val="en-GB"/>
        </w:rPr>
        <w:t xml:space="preserve">, </w:t>
      </w:r>
      <w:r w:rsidR="00C2060C" w:rsidRPr="008B4C4F">
        <w:rPr>
          <w:i/>
          <w:iCs/>
          <w:lang w:val="en-GB"/>
        </w:rPr>
        <w:t>E. nitens</w:t>
      </w:r>
      <w:r w:rsidR="00C2060C">
        <w:rPr>
          <w:i/>
          <w:iCs/>
          <w:lang w:val="en-GB"/>
        </w:rPr>
        <w:t xml:space="preserve"> </w:t>
      </w:r>
      <w:r w:rsidR="00C2060C" w:rsidRPr="006B1369">
        <w:rPr>
          <w:rFonts w:asciiTheme="majorBidi" w:hAnsiTheme="majorBidi" w:cstheme="majorBidi"/>
          <w:color w:val="222222"/>
          <w:shd w:val="clear" w:color="auto" w:fill="FFFFFF"/>
        </w:rPr>
        <w:t>~</w:t>
      </w:r>
      <w:r w:rsidR="00C2060C">
        <w:rPr>
          <w:rFonts w:asciiTheme="majorBidi" w:hAnsiTheme="majorBidi" w:cstheme="majorBidi"/>
          <w:color w:val="222222"/>
          <w:shd w:val="clear" w:color="auto" w:fill="FFFFFF"/>
        </w:rPr>
        <w:t>680</w:t>
      </w:r>
      <w:r w:rsidR="00C2060C" w:rsidRPr="006B1369">
        <w:rPr>
          <w:rFonts w:hint="eastAsia"/>
          <w:lang w:val="en-GB"/>
        </w:rPr>
        <w:t xml:space="preserve"> </w:t>
      </w:r>
      <w:r w:rsidR="00C2060C" w:rsidRPr="00533A74">
        <w:rPr>
          <w:rFonts w:hint="eastAsia"/>
          <w:lang w:val="en-GB"/>
        </w:rPr>
        <w:t>kg/m</w:t>
      </w:r>
      <w:r w:rsidR="00C2060C" w:rsidRPr="00533A74">
        <w:rPr>
          <w:rFonts w:hint="eastAsia"/>
          <w:vertAlign w:val="superscript"/>
          <w:lang w:val="en-GB"/>
        </w:rPr>
        <w:t>3</w:t>
      </w:r>
      <w:r w:rsidR="00C2060C">
        <w:rPr>
          <w:vertAlign w:val="superscript"/>
          <w:lang w:val="en-GB"/>
        </w:rPr>
        <w:t xml:space="preserve"> </w:t>
      </w:r>
      <w:r w:rsidR="00C2060C">
        <w:rPr>
          <w:lang w:val="en-GB"/>
        </w:rPr>
        <w:t xml:space="preserve">and </w:t>
      </w:r>
      <w:r w:rsidR="00C2060C" w:rsidRPr="006B1369">
        <w:rPr>
          <w:rFonts w:asciiTheme="majorBidi" w:hAnsiTheme="majorBidi" w:cstheme="majorBidi"/>
          <w:color w:val="222222"/>
          <w:shd w:val="clear" w:color="auto" w:fill="FFFFFF"/>
        </w:rPr>
        <w:t>~</w:t>
      </w:r>
      <w:r w:rsidR="00C2060C">
        <w:rPr>
          <w:rFonts w:asciiTheme="majorBidi" w:hAnsiTheme="majorBidi" w:cstheme="majorBidi"/>
          <w:color w:val="222222"/>
          <w:shd w:val="clear" w:color="auto" w:fill="FFFFFF"/>
        </w:rPr>
        <w:t>940</w:t>
      </w:r>
      <w:r w:rsidR="00C2060C" w:rsidRPr="006B1369">
        <w:rPr>
          <w:rFonts w:hint="eastAsia"/>
          <w:lang w:val="en-GB"/>
        </w:rPr>
        <w:t xml:space="preserve"> </w:t>
      </w:r>
      <w:r w:rsidR="00C2060C" w:rsidRPr="00533A74">
        <w:rPr>
          <w:rFonts w:hint="eastAsia"/>
          <w:lang w:val="en-GB"/>
        </w:rPr>
        <w:t>kg/m</w:t>
      </w:r>
      <w:r w:rsidR="00C2060C" w:rsidRPr="00533A74">
        <w:rPr>
          <w:rFonts w:hint="eastAsia"/>
          <w:vertAlign w:val="superscript"/>
          <w:lang w:val="en-GB"/>
        </w:rPr>
        <w:t>3</w:t>
      </w:r>
      <w:r w:rsidR="00C2060C" w:rsidRPr="00300C18">
        <w:rPr>
          <w:i/>
          <w:iCs/>
          <w:lang w:val="en-GB"/>
        </w:rPr>
        <w:t xml:space="preserve"> </w:t>
      </w:r>
      <w:r>
        <w:rPr>
          <w:lang w:val="en-GB"/>
        </w:rPr>
        <w:t xml:space="preserve">and </w:t>
      </w:r>
      <w:r w:rsidRPr="008B4C4F">
        <w:rPr>
          <w:i/>
          <w:iCs/>
          <w:lang w:val="en-GB"/>
        </w:rPr>
        <w:t>E. globulus</w:t>
      </w:r>
      <w:r>
        <w:rPr>
          <w:i/>
          <w:iCs/>
          <w:lang w:val="en-GB"/>
        </w:rPr>
        <w:t xml:space="preserve"> </w:t>
      </w:r>
      <w:r w:rsidRPr="006B1369">
        <w:rPr>
          <w:rFonts w:asciiTheme="majorBidi" w:hAnsiTheme="majorBidi" w:cstheme="majorBidi"/>
          <w:color w:val="222222"/>
          <w:shd w:val="clear" w:color="auto" w:fill="FFFFFF"/>
        </w:rPr>
        <w:t>~</w:t>
      </w:r>
      <w:r>
        <w:rPr>
          <w:rFonts w:asciiTheme="majorBidi" w:hAnsiTheme="majorBidi" w:cstheme="majorBidi"/>
          <w:color w:val="222222"/>
          <w:shd w:val="clear" w:color="auto" w:fill="FFFFFF"/>
        </w:rPr>
        <w:t>775</w:t>
      </w:r>
      <w:r w:rsidRPr="006B1369">
        <w:rPr>
          <w:rFonts w:hint="eastAsia"/>
          <w:lang w:val="en-GB"/>
        </w:rPr>
        <w:t xml:space="preserve"> </w:t>
      </w:r>
      <w:r w:rsidRPr="00533A74">
        <w:rPr>
          <w:rFonts w:hint="eastAsia"/>
          <w:lang w:val="en-GB"/>
        </w:rPr>
        <w:t>kg/m</w:t>
      </w:r>
      <w:r w:rsidRPr="00533A74">
        <w:rPr>
          <w:rFonts w:hint="eastAsia"/>
          <w:vertAlign w:val="superscript"/>
          <w:lang w:val="en-GB"/>
        </w:rPr>
        <w:t>3</w:t>
      </w:r>
      <w:r>
        <w:rPr>
          <w:vertAlign w:val="superscript"/>
          <w:lang w:val="en-GB"/>
        </w:rPr>
        <w:t xml:space="preserve"> </w:t>
      </w:r>
      <w:r>
        <w:rPr>
          <w:lang w:val="en-GB"/>
        </w:rPr>
        <w:t xml:space="preserve">and </w:t>
      </w:r>
      <w:r w:rsidRPr="006B1369">
        <w:rPr>
          <w:rFonts w:asciiTheme="majorBidi" w:hAnsiTheme="majorBidi" w:cstheme="majorBidi"/>
          <w:color w:val="222222"/>
          <w:shd w:val="clear" w:color="auto" w:fill="FFFFFF"/>
        </w:rPr>
        <w:t>~</w:t>
      </w:r>
      <w:r>
        <w:rPr>
          <w:rFonts w:asciiTheme="majorBidi" w:hAnsiTheme="majorBidi" w:cstheme="majorBidi"/>
          <w:color w:val="222222"/>
          <w:shd w:val="clear" w:color="auto" w:fill="FFFFFF"/>
        </w:rPr>
        <w:t>870</w:t>
      </w:r>
      <w:r w:rsidRPr="006B1369">
        <w:rPr>
          <w:rFonts w:hint="eastAsia"/>
          <w:lang w:val="en-GB"/>
        </w:rPr>
        <w:t xml:space="preserve"> </w:t>
      </w:r>
      <w:r w:rsidRPr="00533A74">
        <w:rPr>
          <w:rFonts w:hint="eastAsia"/>
          <w:lang w:val="en-GB"/>
        </w:rPr>
        <w:t>kg/m</w:t>
      </w:r>
      <w:r w:rsidRPr="00533A74">
        <w:rPr>
          <w:rFonts w:hint="eastAsia"/>
          <w:vertAlign w:val="superscript"/>
          <w:lang w:val="en-GB"/>
        </w:rPr>
        <w:t>3</w:t>
      </w:r>
      <w:r>
        <w:rPr>
          <w:i/>
          <w:iCs/>
          <w:lang w:val="en-GB"/>
        </w:rPr>
        <w:t xml:space="preserve">, </w:t>
      </w:r>
      <w:r>
        <w:rPr>
          <w:lang w:val="en-GB"/>
        </w:rPr>
        <w:t>at 67% and 53% respectively.</w:t>
      </w:r>
      <w:r w:rsidR="00793376">
        <w:rPr>
          <w:lang w:val="en-GB"/>
        </w:rPr>
        <w:t xml:space="preserve"> </w:t>
      </w:r>
    </w:p>
    <w:p w14:paraId="0AC1B8C2" w14:textId="77777777" w:rsidR="00C2060C" w:rsidRDefault="00C2060C" w:rsidP="00C2060C">
      <w:pPr>
        <w:rPr>
          <w:b/>
          <w:lang w:val="en-GB"/>
        </w:rPr>
      </w:pPr>
    </w:p>
    <w:p w14:paraId="516A7EB5" w14:textId="234C2A89" w:rsidR="00C141DE" w:rsidRPr="00CA258B" w:rsidRDefault="00C141DE" w:rsidP="00C2060C">
      <w:pPr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C2060C">
        <w:rPr>
          <w:lang w:val="en-GB"/>
        </w:rPr>
        <w:t>Hardwood</w:t>
      </w:r>
      <w:r w:rsidRPr="00CA258B">
        <w:rPr>
          <w:lang w:val="en-GB"/>
        </w:rPr>
        <w:t xml:space="preserve">, </w:t>
      </w:r>
      <w:proofErr w:type="spellStart"/>
      <w:r w:rsidR="00B140D8">
        <w:rPr>
          <w:lang w:val="en-GB"/>
        </w:rPr>
        <w:t>S</w:t>
      </w:r>
      <w:r w:rsidR="00C2060C">
        <w:rPr>
          <w:lang w:val="en-GB"/>
        </w:rPr>
        <w:t>awlog</w:t>
      </w:r>
      <w:proofErr w:type="spellEnd"/>
      <w:r w:rsidRPr="00CA258B">
        <w:rPr>
          <w:lang w:val="en-GB"/>
        </w:rPr>
        <w:t xml:space="preserve">, </w:t>
      </w:r>
      <w:proofErr w:type="spellStart"/>
      <w:r w:rsidR="00B140D8">
        <w:rPr>
          <w:lang w:val="en-GB"/>
        </w:rPr>
        <w:t>P</w:t>
      </w:r>
      <w:r w:rsidR="00C2060C">
        <w:rPr>
          <w:lang w:val="en-GB"/>
        </w:rPr>
        <w:t>ulplog</w:t>
      </w:r>
      <w:proofErr w:type="spellEnd"/>
      <w:r w:rsidR="00C2060C">
        <w:rPr>
          <w:lang w:val="en-GB"/>
        </w:rPr>
        <w:t xml:space="preserve">, </w:t>
      </w:r>
      <w:r w:rsidR="00B140D8">
        <w:rPr>
          <w:lang w:val="en-GB"/>
        </w:rPr>
        <w:t>D</w:t>
      </w:r>
      <w:r w:rsidR="00C2060C">
        <w:rPr>
          <w:lang w:val="en-GB"/>
        </w:rPr>
        <w:t>ensification.</w:t>
      </w:r>
    </w:p>
    <w:p w14:paraId="7539FE51" w14:textId="666219BD" w:rsidR="00C2060C" w:rsidRPr="00C2060C" w:rsidRDefault="009D7944" w:rsidP="00C2060C">
      <w:pPr>
        <w:pStyle w:val="AbstractBodyText"/>
        <w:rPr>
          <w:lang w:val="en-GB"/>
        </w:rPr>
      </w:pPr>
      <w:r w:rsidRPr="00CA258B">
        <w:rPr>
          <w:b/>
          <w:lang w:val="en-GB"/>
        </w:rPr>
        <w:lastRenderedPageBreak/>
        <w:t xml:space="preserve">Acknowledgements: </w:t>
      </w:r>
      <w:r w:rsidR="00C2060C" w:rsidRPr="00C2060C">
        <w:rPr>
          <w:lang w:val="en-GB"/>
        </w:rPr>
        <w:t>This research was funded by the Australian Research Council, Centre for Forest Value, University of</w:t>
      </w:r>
      <w:r w:rsidR="00C2060C">
        <w:rPr>
          <w:lang w:val="en-GB"/>
        </w:rPr>
        <w:t xml:space="preserve"> </w:t>
      </w:r>
      <w:r w:rsidR="00C2060C" w:rsidRPr="00C2060C">
        <w:rPr>
          <w:lang w:val="en-GB"/>
        </w:rPr>
        <w:t xml:space="preserve">Tasmania, TAS, Australia, grant number IC150100004. </w:t>
      </w:r>
      <w:r w:rsidR="00433CAE" w:rsidRPr="001C0E56">
        <w:t>The author</w:t>
      </w:r>
      <w:r w:rsidR="00433CAE">
        <w:t>s</w:t>
      </w:r>
      <w:r w:rsidR="00433CAE" w:rsidRPr="001C0E56">
        <w:t xml:space="preserve"> gratefully acknowledge the European Commission for funding the InnoRenew CoE project (Grant Agreement #739574) under the Horizon2020 Widespread-Teaming program and the Republic of Slovenia (Investment funding of the Republic of Slovenia and the European Union of the European regional Development Fund).</w:t>
      </w:r>
    </w:p>
    <w:p w14:paraId="2DB31C4B" w14:textId="1857F27E" w:rsidR="00F17B89" w:rsidRDefault="00F17B89" w:rsidP="00B45F80">
      <w:pPr>
        <w:pStyle w:val="ReferencesTitle"/>
        <w:rPr>
          <w:lang w:val="en-GB"/>
        </w:rPr>
      </w:pPr>
      <w:r w:rsidRPr="00CA258B">
        <w:rPr>
          <w:lang w:val="en-GB"/>
        </w:rPr>
        <w:t xml:space="preserve">REFERENCES </w:t>
      </w:r>
      <w:r w:rsidR="00C2060C" w:rsidRPr="00CA258B">
        <w:rPr>
          <w:lang w:val="en-GB"/>
        </w:rPr>
        <w:t xml:space="preserve"> </w:t>
      </w:r>
    </w:p>
    <w:p w14:paraId="00FE8AA4" w14:textId="3A1A491B" w:rsidR="00EC65D1" w:rsidRDefault="00934783" w:rsidP="00934783">
      <w:pPr>
        <w:pStyle w:val="Reference"/>
        <w:rPr>
          <w:noProof/>
          <w:lang w:val="en-GB"/>
        </w:rPr>
      </w:pPr>
      <w:r>
        <w:rPr>
          <w:noProof/>
          <w:lang w:val="en-GB"/>
        </w:rPr>
        <w:t xml:space="preserve">Council of Standards Australia., 2018, 3959 Construction of buildings in bushfire-prone areas. </w:t>
      </w:r>
      <w:r w:rsidR="001018AF">
        <w:rPr>
          <w:noProof/>
          <w:lang w:val="en-GB"/>
        </w:rPr>
        <w:t xml:space="preserve">Standards Australia, </w:t>
      </w:r>
      <w:r>
        <w:rPr>
          <w:noProof/>
          <w:lang w:val="en-GB"/>
        </w:rPr>
        <w:t>Sydney, NSW</w:t>
      </w:r>
      <w:r w:rsidR="001018AF">
        <w:rPr>
          <w:noProof/>
          <w:lang w:val="en-GB"/>
        </w:rPr>
        <w:t>.</w:t>
      </w:r>
    </w:p>
    <w:p w14:paraId="0C2EFD4D" w14:textId="77777777" w:rsidR="00E060DC" w:rsidRDefault="00E060DC" w:rsidP="00E060DC">
      <w:pPr>
        <w:pStyle w:val="Reference"/>
        <w:rPr>
          <w:noProof/>
          <w:lang w:val="en-GB"/>
        </w:rPr>
      </w:pPr>
      <w:r w:rsidRPr="001018AF">
        <w:rPr>
          <w:noProof/>
          <w:lang w:val="en-GB"/>
        </w:rPr>
        <w:t>Rautkari, L., Kutnar, A., Hughes, M. and Kamke, F.A., 2010, June. Wood surface densification using different methods. In Proceedings of the 11th world conference on timber engineering (pp. 20-24).</w:t>
      </w:r>
    </w:p>
    <w:p w14:paraId="46D84523" w14:textId="77777777" w:rsidR="001018AF" w:rsidRDefault="001018AF" w:rsidP="00934783">
      <w:pPr>
        <w:pStyle w:val="Reference"/>
        <w:rPr>
          <w:noProof/>
          <w:lang w:val="en-GB"/>
        </w:rPr>
      </w:pPr>
      <w:r w:rsidRPr="001018AF">
        <w:rPr>
          <w:noProof/>
          <w:lang w:val="en-GB"/>
        </w:rPr>
        <w:t>Sandberg, D., Haller, P. and Navi, P., 2013. Thermo-hydro and thermo-hydro-mechanical wood processing: An opportunity for future environmentally friendly wood products. Wood Material Science &amp; Engineering, 8(1), pp.64-88.</w:t>
      </w:r>
    </w:p>
    <w:p w14:paraId="1E1C935F" w14:textId="0E12BA0C" w:rsidR="001018AF" w:rsidRDefault="001018AF" w:rsidP="00934783">
      <w:pPr>
        <w:pStyle w:val="Reference"/>
        <w:rPr>
          <w:noProof/>
          <w:lang w:val="en-GB"/>
        </w:rPr>
      </w:pPr>
      <w:r w:rsidRPr="001018AF">
        <w:rPr>
          <w:noProof/>
          <w:lang w:val="en-GB"/>
        </w:rPr>
        <w:t xml:space="preserve">Sandberg, D. and Navi, P., 2007. Introduction to thermo-hydro-mechanical (THM) wood processing. </w:t>
      </w:r>
      <w:r>
        <w:rPr>
          <w:noProof/>
          <w:lang w:val="en-GB"/>
        </w:rPr>
        <w:t>School of Technology and Design Reports, No. 30, University of Sweden</w:t>
      </w:r>
      <w:r w:rsidRPr="001018AF">
        <w:rPr>
          <w:noProof/>
          <w:lang w:val="en-GB"/>
        </w:rPr>
        <w:t>.</w:t>
      </w:r>
    </w:p>
    <w:p w14:paraId="69E5C7EB" w14:textId="01B8354A" w:rsidR="001018AF" w:rsidRPr="00934783" w:rsidRDefault="00E060DC" w:rsidP="00934783">
      <w:pPr>
        <w:pStyle w:val="Reference"/>
        <w:rPr>
          <w:b/>
          <w:lang w:val="en-GB"/>
        </w:rPr>
      </w:pPr>
      <w:r>
        <w:rPr>
          <w:b/>
          <w:lang w:val="en-GB"/>
        </w:rPr>
        <w:t xml:space="preserve"> </w:t>
      </w:r>
    </w:p>
    <w:sectPr w:rsidR="001018AF" w:rsidRPr="0093478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26" w:right="1418" w:bottom="1410" w:left="1418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11D09" w14:textId="77777777" w:rsidR="0068680E" w:rsidRDefault="0068680E">
      <w:r>
        <w:separator/>
      </w:r>
    </w:p>
  </w:endnote>
  <w:endnote w:type="continuationSeparator" w:id="0">
    <w:p w14:paraId="5B6FDBA1" w14:textId="77777777" w:rsidR="0068680E" w:rsidRDefault="0068680E">
      <w:r>
        <w:continuationSeparator/>
      </w:r>
    </w:p>
  </w:endnote>
  <w:endnote w:type="continuationNotice" w:id="1">
    <w:p w14:paraId="38CA3154" w14:textId="77777777" w:rsidR="0068680E" w:rsidRDefault="00686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7B97F" w14:textId="77777777" w:rsidR="00CA258B" w:rsidRDefault="00CA2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9F380" w14:textId="77777777" w:rsidR="00CA258B" w:rsidRDefault="00CA2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0EEA" w14:textId="77777777" w:rsidR="00CA258B" w:rsidRDefault="00CA2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47719" w14:textId="77777777" w:rsidR="0068680E" w:rsidRDefault="0068680E">
      <w:r>
        <w:separator/>
      </w:r>
    </w:p>
  </w:footnote>
  <w:footnote w:type="continuationSeparator" w:id="0">
    <w:p w14:paraId="230319B7" w14:textId="77777777" w:rsidR="0068680E" w:rsidRDefault="0068680E">
      <w:r>
        <w:continuationSeparator/>
      </w:r>
    </w:p>
  </w:footnote>
  <w:footnote w:type="continuationNotice" w:id="1">
    <w:p w14:paraId="5D1137DA" w14:textId="77777777" w:rsidR="0068680E" w:rsidRDefault="006868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045DD5" w:rsidRDefault="00045DD5">
    <w:pPr>
      <w:pStyle w:val="Header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B2C3818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0B31" w14:textId="77777777" w:rsidR="00B57FD3" w:rsidRDefault="00B57FD3">
    <w:pPr>
      <w:pStyle w:val="Header"/>
    </w:pP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EB99A0B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C9DC" w14:textId="77777777" w:rsidR="00045DD5" w:rsidRPr="00045DD5" w:rsidRDefault="00B01496" w:rsidP="00751562">
    <w:pPr>
      <w:pStyle w:val="Header"/>
      <w:tabs>
        <w:tab w:val="left" w:pos="2268"/>
        <w:tab w:val="left" w:pos="3119"/>
        <w:tab w:val="right" w:pos="9072"/>
      </w:tabs>
      <w:ind w:firstLine="2268"/>
      <w:jc w:val="both"/>
      <w:rPr>
        <w:b/>
        <w:bCs/>
        <w:sz w:val="20"/>
        <w:szCs w:val="20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7AADBD4B">
          <wp:simplePos x="0" y="0"/>
          <wp:positionH relativeFrom="column">
            <wp:posOffset>71795</wp:posOffset>
          </wp:positionH>
          <wp:positionV relativeFrom="paragraph">
            <wp:posOffset>-158026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DD5" w:rsidRPr="00045DD5">
      <w:rPr>
        <w:b/>
        <w:bCs/>
        <w:sz w:val="20"/>
        <w:szCs w:val="20"/>
      </w:rPr>
      <w:t>The InnoRenew CoE International Conference 2020</w:t>
    </w:r>
  </w:p>
  <w:p w14:paraId="1F12E1ED" w14:textId="77777777" w:rsidR="00045DD5" w:rsidRPr="00045DD5" w:rsidRDefault="00045DD5" w:rsidP="00751562">
    <w:pPr>
      <w:pStyle w:val="Header"/>
      <w:tabs>
        <w:tab w:val="left" w:pos="2268"/>
        <w:tab w:val="left" w:pos="3119"/>
        <w:tab w:val="right" w:pos="9072"/>
      </w:tabs>
      <w:ind w:firstLine="2268"/>
      <w:jc w:val="both"/>
      <w:rPr>
        <w:bCs/>
        <w:i/>
        <w:iCs/>
        <w:sz w:val="20"/>
        <w:szCs w:val="20"/>
      </w:rPr>
    </w:pPr>
    <w:r w:rsidRPr="00045DD5">
      <w:rPr>
        <w:bCs/>
        <w:i/>
        <w:iCs/>
        <w:sz w:val="20"/>
        <w:szCs w:val="20"/>
      </w:rPr>
      <w:t>Integrating sustainability and health in</w:t>
    </w:r>
    <w:r w:rsidR="00751562">
      <w:rPr>
        <w:bCs/>
        <w:i/>
        <w:iCs/>
        <w:sz w:val="20"/>
        <w:szCs w:val="20"/>
      </w:rPr>
      <w:t xml:space="preserve"> </w:t>
    </w:r>
    <w:r w:rsidRPr="00045DD5">
      <w:rPr>
        <w:bCs/>
        <w:i/>
        <w:iCs/>
        <w:sz w:val="20"/>
        <w:szCs w:val="20"/>
      </w:rPr>
      <w:t>buildings through renewable materials</w:t>
    </w:r>
  </w:p>
  <w:p w14:paraId="3272153E" w14:textId="43DF0F13" w:rsidR="00B57FD3" w:rsidRDefault="00F17B89" w:rsidP="00751562">
    <w:pPr>
      <w:pStyle w:val="Header"/>
      <w:tabs>
        <w:tab w:val="left" w:pos="2268"/>
      </w:tabs>
    </w:pPr>
    <w:r>
      <w:tab/>
    </w:r>
    <w:r w:rsidR="00045DD5">
      <w:rPr>
        <w:sz w:val="20"/>
        <w:szCs w:val="20"/>
      </w:rPr>
      <w:t>Koper</w:t>
    </w:r>
    <w:r>
      <w:rPr>
        <w:sz w:val="20"/>
        <w:szCs w:val="20"/>
      </w:rPr>
      <w:t xml:space="preserve">, </w:t>
    </w:r>
    <w:r w:rsidR="00045DD5">
      <w:rPr>
        <w:sz w:val="20"/>
        <w:szCs w:val="20"/>
      </w:rPr>
      <w:t>Slovenia</w:t>
    </w:r>
    <w:r w:rsidR="00611342">
      <w:rPr>
        <w:sz w:val="20"/>
        <w:szCs w:val="20"/>
      </w:rPr>
      <w:t xml:space="preserve"> |</w:t>
    </w:r>
    <w:r>
      <w:rPr>
        <w:sz w:val="20"/>
        <w:szCs w:val="20"/>
      </w:rPr>
      <w:t xml:space="preserve"> </w:t>
    </w:r>
    <w:r w:rsidR="00045DD5">
      <w:rPr>
        <w:sz w:val="20"/>
        <w:szCs w:val="20"/>
      </w:rPr>
      <w:t>27</w:t>
    </w:r>
    <w:r>
      <w:rPr>
        <w:sz w:val="20"/>
        <w:szCs w:val="20"/>
      </w:rPr>
      <w:t xml:space="preserve"> </w:t>
    </w:r>
    <w:r w:rsidR="00045DD5">
      <w:rPr>
        <w:sz w:val="20"/>
        <w:szCs w:val="20"/>
      </w:rPr>
      <w:t>March</w:t>
    </w:r>
    <w:r>
      <w:rPr>
        <w:sz w:val="20"/>
        <w:szCs w:val="20"/>
      </w:rPr>
      <w:t xml:space="preserve"> 20</w:t>
    </w:r>
    <w:r w:rsidR="00045DD5">
      <w:rPr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7F0D442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abstractNum w:abstractNumId="4" w15:restartNumberingAfterBreak="0">
    <w:nsid w:val="11035EE4"/>
    <w:multiLevelType w:val="hybridMultilevel"/>
    <w:tmpl w:val="F654AAE6"/>
    <w:lvl w:ilvl="0" w:tplc="FB6AA554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B119E"/>
    <w:multiLevelType w:val="hybridMultilevel"/>
    <w:tmpl w:val="0F3A890C"/>
    <w:lvl w:ilvl="0" w:tplc="6A80440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96"/>
    <w:rsid w:val="00020874"/>
    <w:rsid w:val="000403AC"/>
    <w:rsid w:val="00045DD5"/>
    <w:rsid w:val="000E3EF9"/>
    <w:rsid w:val="001018AF"/>
    <w:rsid w:val="00176F8A"/>
    <w:rsid w:val="001B10FA"/>
    <w:rsid w:val="001B52B5"/>
    <w:rsid w:val="001C050B"/>
    <w:rsid w:val="002E775C"/>
    <w:rsid w:val="00300C18"/>
    <w:rsid w:val="003E3C42"/>
    <w:rsid w:val="00433CAE"/>
    <w:rsid w:val="00463F1B"/>
    <w:rsid w:val="00470C84"/>
    <w:rsid w:val="004A58C0"/>
    <w:rsid w:val="004D76A4"/>
    <w:rsid w:val="00533A74"/>
    <w:rsid w:val="00574A27"/>
    <w:rsid w:val="005C00B6"/>
    <w:rsid w:val="005C600E"/>
    <w:rsid w:val="00611342"/>
    <w:rsid w:val="00631A80"/>
    <w:rsid w:val="006378BC"/>
    <w:rsid w:val="00640719"/>
    <w:rsid w:val="006717C1"/>
    <w:rsid w:val="0068680E"/>
    <w:rsid w:val="006922BB"/>
    <w:rsid w:val="006A2C85"/>
    <w:rsid w:val="006B1369"/>
    <w:rsid w:val="006F39C5"/>
    <w:rsid w:val="00704F36"/>
    <w:rsid w:val="00734F85"/>
    <w:rsid w:val="00751562"/>
    <w:rsid w:val="00792E50"/>
    <w:rsid w:val="00793376"/>
    <w:rsid w:val="007C2DF5"/>
    <w:rsid w:val="007F4B45"/>
    <w:rsid w:val="00881A1C"/>
    <w:rsid w:val="008846B7"/>
    <w:rsid w:val="00890C56"/>
    <w:rsid w:val="0089432D"/>
    <w:rsid w:val="008B4C4F"/>
    <w:rsid w:val="008D13BD"/>
    <w:rsid w:val="008D7D99"/>
    <w:rsid w:val="00934783"/>
    <w:rsid w:val="009A4F06"/>
    <w:rsid w:val="009A6441"/>
    <w:rsid w:val="009C334C"/>
    <w:rsid w:val="009C5546"/>
    <w:rsid w:val="009D6C55"/>
    <w:rsid w:val="009D7944"/>
    <w:rsid w:val="00A46E8D"/>
    <w:rsid w:val="00A46ED9"/>
    <w:rsid w:val="00A72435"/>
    <w:rsid w:val="00A81211"/>
    <w:rsid w:val="00AE280C"/>
    <w:rsid w:val="00B01496"/>
    <w:rsid w:val="00B140D8"/>
    <w:rsid w:val="00B45F80"/>
    <w:rsid w:val="00B57FD3"/>
    <w:rsid w:val="00B672C5"/>
    <w:rsid w:val="00BC50C8"/>
    <w:rsid w:val="00BF40DB"/>
    <w:rsid w:val="00C141DE"/>
    <w:rsid w:val="00C2060C"/>
    <w:rsid w:val="00C20F91"/>
    <w:rsid w:val="00CA258B"/>
    <w:rsid w:val="00CB7DEA"/>
    <w:rsid w:val="00CF2AC0"/>
    <w:rsid w:val="00D52212"/>
    <w:rsid w:val="00D77527"/>
    <w:rsid w:val="00DA008B"/>
    <w:rsid w:val="00E00515"/>
    <w:rsid w:val="00E060DC"/>
    <w:rsid w:val="00E47876"/>
    <w:rsid w:val="00E93DD2"/>
    <w:rsid w:val="00EC65D1"/>
    <w:rsid w:val="00F00CCE"/>
    <w:rsid w:val="00F14F3F"/>
    <w:rsid w:val="00F17B89"/>
    <w:rsid w:val="00F7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adpis"/>
    <w:next w:val="BodyText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PageNumber">
    <w:name w:val="page number"/>
    <w:basedOn w:val="Fuentedeprrafopredeter"/>
  </w:style>
  <w:style w:type="character" w:styleId="Hyperlink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customStyle="1" w:styleId="AbstractTitle">
    <w:name w:val="Abstract Title"/>
    <w:basedOn w:val="Normal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"/>
    <w:pPr>
      <w:spacing w:before="240"/>
      <w:jc w:val="center"/>
    </w:pPr>
    <w:rPr>
      <w:b/>
    </w:rPr>
  </w:style>
  <w:style w:type="paragraph" w:customStyle="1" w:styleId="Affiliation">
    <w:name w:val="Affiliation"/>
    <w:basedOn w:val="Normal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"/>
    <w:pPr>
      <w:spacing w:before="227"/>
    </w:pPr>
    <w:rPr>
      <w:i/>
      <w:sz w:val="22"/>
    </w:rPr>
  </w:style>
  <w:style w:type="paragraph" w:customStyle="1" w:styleId="Abstract">
    <w:name w:val="Abstract"/>
    <w:basedOn w:val="Normal"/>
    <w:pPr>
      <w:spacing w:before="283"/>
      <w:jc w:val="both"/>
    </w:pPr>
    <w:rPr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Heading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Heading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"/>
    <w:next w:val="Normal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Listaconvietas">
    <w:name w:val="Lista con viñetas"/>
    <w:basedOn w:val="Normal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BodyText"/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8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85"/>
    <w:rPr>
      <w:rFonts w:eastAsia="SimSun"/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2E775C"/>
    <w:pPr>
      <w:ind w:left="720"/>
    </w:pPr>
    <w:rPr>
      <w:rFonts w:ascii="Calibri" w:eastAsiaTheme="minorEastAsia" w:hAnsi="Calibri" w:cs="Calibri"/>
      <w:sz w:val="22"/>
      <w:szCs w:val="22"/>
      <w:lang w:val="en-AU"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1C0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tthew.schwarzkopf@iam.upr.s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M.W.Lee@utas.edu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han.Kotlarewski@utas.edu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ica.mikuljan@innorenew.e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ka.pecnik@innorenew.eu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95863-651B-4A15-9F88-7F4472FEDAB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e2f5b1d-8d81-4269-86fe-d536e340831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06CA77-BE60-43D8-B920-900D770A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SAHC2014</vt:lpstr>
    </vt:vector>
  </TitlesOfParts>
  <Company>Oregon State University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Nathan Kotlarewski</cp:lastModifiedBy>
  <cp:revision>2</cp:revision>
  <cp:lastPrinted>2014-01-17T10:40:00Z</cp:lastPrinted>
  <dcterms:created xsi:type="dcterms:W3CDTF">2019-10-14T22:09:00Z</dcterms:created>
  <dcterms:modified xsi:type="dcterms:W3CDTF">2019-10-14T22:09:00Z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