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521EE9" w14:textId="168572E6" w:rsidR="00C931D8" w:rsidRPr="00285BED" w:rsidRDefault="00C931D8">
      <w:pPr>
        <w:pStyle w:val="Author"/>
        <w:spacing w:before="0"/>
        <w:rPr>
          <w:rFonts w:eastAsia="Times New Roman"/>
          <w:sz w:val="28"/>
          <w:lang w:val="it-IT"/>
        </w:rPr>
      </w:pPr>
      <w:bookmarkStart w:id="0" w:name="_GoBack"/>
      <w:bookmarkEnd w:id="0"/>
      <w:r w:rsidRPr="00285BED">
        <w:rPr>
          <w:rFonts w:eastAsia="Times New Roman"/>
          <w:sz w:val="28"/>
          <w:lang w:val="it-IT"/>
        </w:rPr>
        <w:t>Caratterizzazione di oggetti del patrimonio</w:t>
      </w:r>
      <w:r w:rsidR="00960E9A">
        <w:rPr>
          <w:rFonts w:eastAsia="Times New Roman"/>
          <w:sz w:val="28"/>
          <w:lang w:val="it-IT"/>
        </w:rPr>
        <w:t xml:space="preserve"> culturale</w:t>
      </w:r>
      <w:r w:rsidRPr="00285BED">
        <w:rPr>
          <w:rFonts w:eastAsia="Times New Roman"/>
          <w:sz w:val="28"/>
          <w:lang w:val="it-IT"/>
        </w:rPr>
        <w:t xml:space="preserve"> con immagini iperspettrali</w:t>
      </w:r>
      <w:r w:rsidR="00285BED" w:rsidRPr="00285BED">
        <w:rPr>
          <w:rFonts w:eastAsia="Times New Roman"/>
          <w:sz w:val="28"/>
          <w:lang w:val="it-IT"/>
        </w:rPr>
        <w:t xml:space="preserve"> NIR</w:t>
      </w:r>
    </w:p>
    <w:p w14:paraId="3BDED188" w14:textId="77777777" w:rsidR="00C931D8" w:rsidRPr="00285BED" w:rsidRDefault="00C931D8">
      <w:pPr>
        <w:pStyle w:val="Author"/>
        <w:spacing w:before="0"/>
        <w:rPr>
          <w:rFonts w:eastAsia="Times New Roman"/>
          <w:sz w:val="28"/>
          <w:lang w:val="it-IT"/>
        </w:rPr>
      </w:pPr>
    </w:p>
    <w:p w14:paraId="1A0658EE" w14:textId="3A78804D" w:rsidR="00B57FD3" w:rsidRPr="00960E9A" w:rsidRDefault="00765C6E">
      <w:pPr>
        <w:pStyle w:val="Author"/>
        <w:spacing w:before="0"/>
        <w:rPr>
          <w:lang w:val="it-IT"/>
        </w:rPr>
      </w:pPr>
      <w:r w:rsidRPr="00960E9A">
        <w:rPr>
          <w:lang w:val="it-IT"/>
        </w:rPr>
        <w:t>Jakub Sandak</w:t>
      </w:r>
      <w:r w:rsidRPr="00960E9A">
        <w:rPr>
          <w:vertAlign w:val="superscript"/>
          <w:lang w:val="it-IT"/>
        </w:rPr>
        <w:t>1,2*</w:t>
      </w:r>
      <w:r w:rsidRPr="00960E9A">
        <w:rPr>
          <w:lang w:val="it-IT"/>
        </w:rPr>
        <w:t>, Anna Sandak</w:t>
      </w:r>
      <w:r w:rsidRPr="00960E9A">
        <w:rPr>
          <w:vertAlign w:val="superscript"/>
          <w:lang w:val="it-IT"/>
        </w:rPr>
        <w:t>1,3</w:t>
      </w:r>
      <w:r w:rsidRPr="00960E9A">
        <w:rPr>
          <w:lang w:val="it-IT"/>
        </w:rPr>
        <w:t>, Lea Legan</w:t>
      </w:r>
      <w:r w:rsidRPr="00960E9A">
        <w:rPr>
          <w:vertAlign w:val="superscript"/>
          <w:lang w:val="it-IT"/>
        </w:rPr>
        <w:t>4</w:t>
      </w:r>
      <w:r w:rsidRPr="00960E9A">
        <w:rPr>
          <w:lang w:val="it-IT"/>
        </w:rPr>
        <w:t>, Klara Retko</w:t>
      </w:r>
      <w:r w:rsidRPr="00960E9A">
        <w:rPr>
          <w:vertAlign w:val="superscript"/>
          <w:lang w:val="it-IT"/>
        </w:rPr>
        <w:t>4</w:t>
      </w:r>
      <w:r w:rsidRPr="00960E9A">
        <w:rPr>
          <w:lang w:val="it-IT"/>
        </w:rPr>
        <w:t>, Maša Kavčič</w:t>
      </w:r>
      <w:r w:rsidRPr="00960E9A">
        <w:rPr>
          <w:vertAlign w:val="superscript"/>
          <w:lang w:val="it-IT"/>
        </w:rPr>
        <w:t>4</w:t>
      </w:r>
      <w:r w:rsidRPr="00960E9A">
        <w:rPr>
          <w:lang w:val="it-IT"/>
        </w:rPr>
        <w:t>, Janez Kosel</w:t>
      </w:r>
      <w:r w:rsidRPr="00960E9A">
        <w:rPr>
          <w:vertAlign w:val="superscript"/>
          <w:lang w:val="it-IT"/>
        </w:rPr>
        <w:t>4</w:t>
      </w:r>
      <w:r w:rsidRPr="00960E9A">
        <w:rPr>
          <w:lang w:val="it-IT"/>
        </w:rPr>
        <w:t>, Faksawat Poohphajai</w:t>
      </w:r>
      <w:r w:rsidRPr="00960E9A">
        <w:rPr>
          <w:vertAlign w:val="superscript"/>
          <w:lang w:val="it-IT"/>
        </w:rPr>
        <w:t>1,5</w:t>
      </w:r>
      <w:r w:rsidRPr="00960E9A">
        <w:rPr>
          <w:lang w:val="it-IT"/>
        </w:rPr>
        <w:t>, Rene Herrera Diaz</w:t>
      </w:r>
      <w:r w:rsidRPr="00960E9A">
        <w:rPr>
          <w:vertAlign w:val="superscript"/>
          <w:lang w:val="it-IT"/>
        </w:rPr>
        <w:t>1,6</w:t>
      </w:r>
      <w:r w:rsidRPr="00960E9A">
        <w:rPr>
          <w:lang w:val="it-IT"/>
        </w:rPr>
        <w:t>, Veerapandian Ponnuchamy</w:t>
      </w:r>
      <w:r w:rsidRPr="00960E9A">
        <w:rPr>
          <w:vertAlign w:val="superscript"/>
          <w:lang w:val="it-IT"/>
        </w:rPr>
        <w:t>1</w:t>
      </w:r>
      <w:r w:rsidRPr="00960E9A">
        <w:rPr>
          <w:lang w:val="it-IT"/>
        </w:rPr>
        <w:t>, Nežka Sajinčič</w:t>
      </w:r>
      <w:r w:rsidRPr="00960E9A">
        <w:rPr>
          <w:vertAlign w:val="superscript"/>
          <w:lang w:val="it-IT"/>
        </w:rPr>
        <w:t>1</w:t>
      </w:r>
      <w:r w:rsidRPr="00960E9A">
        <w:rPr>
          <w:lang w:val="it-IT"/>
        </w:rPr>
        <w:t>, Črtomir Tavzes</w:t>
      </w:r>
      <w:r w:rsidRPr="00960E9A">
        <w:rPr>
          <w:vertAlign w:val="superscript"/>
          <w:lang w:val="it-IT"/>
        </w:rPr>
        <w:t>1,4</w:t>
      </w:r>
      <w:r w:rsidRPr="00960E9A">
        <w:rPr>
          <w:lang w:val="it-IT"/>
        </w:rPr>
        <w:t>, Polona Ropret</w:t>
      </w:r>
      <w:r w:rsidRPr="00960E9A">
        <w:rPr>
          <w:vertAlign w:val="superscript"/>
          <w:lang w:val="it-IT"/>
        </w:rPr>
        <w:t>4</w:t>
      </w:r>
    </w:p>
    <w:p w14:paraId="38166AEF" w14:textId="77777777" w:rsidR="00765C6E" w:rsidRPr="00960E9A" w:rsidRDefault="00765C6E">
      <w:pPr>
        <w:pStyle w:val="Author"/>
        <w:spacing w:before="0"/>
        <w:rPr>
          <w:b w:val="0"/>
          <w:vertAlign w:val="superscript"/>
          <w:lang w:val="it-IT"/>
        </w:rPr>
      </w:pPr>
    </w:p>
    <w:p w14:paraId="42AA949A" w14:textId="78E8C30B" w:rsidR="00765C6E" w:rsidRPr="00765C6E" w:rsidRDefault="00F17B89" w:rsidP="00765C6E">
      <w:pPr>
        <w:pStyle w:val="Affiliation"/>
        <w:spacing w:before="0"/>
        <w:rPr>
          <w:szCs w:val="22"/>
          <w:lang w:val="it-IT"/>
        </w:rPr>
      </w:pPr>
      <w:r w:rsidRPr="00765C6E">
        <w:rPr>
          <w:vertAlign w:val="superscript"/>
          <w:lang w:val="it-IT"/>
        </w:rPr>
        <w:t>1</w:t>
      </w:r>
      <w:r w:rsidRPr="00765C6E">
        <w:rPr>
          <w:lang w:val="it-IT"/>
        </w:rPr>
        <w:t xml:space="preserve"> </w:t>
      </w:r>
      <w:r w:rsidR="00765C6E" w:rsidRPr="00765C6E">
        <w:rPr>
          <w:szCs w:val="22"/>
          <w:lang w:val="it-IT"/>
        </w:rPr>
        <w:t>InnoRenew CoE, Livade 6, 6310 Izola, Slovenia, jakub.sandak@innorenew.eu, anna.sandak@innorenew.eu, faksawat.poohphajai@innorenew.eu, rene.herdiaz@innorenew.eu, veerapandian.ponnuchamy@innorenew.eu, nezka.sajincic@innorenew.eu, crtomir.tavzes@innorenew.eu</w:t>
      </w:r>
    </w:p>
    <w:p w14:paraId="2513A74C" w14:textId="77777777" w:rsidR="00765C6E" w:rsidRPr="00765C6E" w:rsidRDefault="00765C6E" w:rsidP="00765C6E">
      <w:pPr>
        <w:pStyle w:val="Affiliation"/>
        <w:spacing w:before="0"/>
        <w:rPr>
          <w:szCs w:val="22"/>
          <w:lang w:val="en-GB"/>
        </w:rPr>
      </w:pPr>
      <w:r w:rsidRPr="00765C6E">
        <w:rPr>
          <w:szCs w:val="22"/>
          <w:vertAlign w:val="superscript"/>
          <w:lang w:val="en-GB"/>
        </w:rPr>
        <w:t>2</w:t>
      </w:r>
      <w:r w:rsidRPr="00765C6E">
        <w:rPr>
          <w:szCs w:val="22"/>
          <w:lang w:val="en-GB"/>
        </w:rPr>
        <w:t xml:space="preserve"> University of </w:t>
      </w:r>
      <w:proofErr w:type="spellStart"/>
      <w:r w:rsidRPr="00765C6E">
        <w:rPr>
          <w:szCs w:val="22"/>
          <w:lang w:val="en-GB"/>
        </w:rPr>
        <w:t>Primorska</w:t>
      </w:r>
      <w:proofErr w:type="spellEnd"/>
      <w:r w:rsidRPr="00765C6E">
        <w:rPr>
          <w:szCs w:val="22"/>
          <w:lang w:val="en-GB"/>
        </w:rPr>
        <w:t xml:space="preserve">, Andrej </w:t>
      </w:r>
      <w:proofErr w:type="spellStart"/>
      <w:r w:rsidRPr="00765C6E">
        <w:rPr>
          <w:szCs w:val="22"/>
          <w:lang w:val="en-GB"/>
        </w:rPr>
        <w:t>Marušič</w:t>
      </w:r>
      <w:proofErr w:type="spellEnd"/>
      <w:r w:rsidRPr="00765C6E">
        <w:rPr>
          <w:szCs w:val="22"/>
          <w:lang w:val="en-GB"/>
        </w:rPr>
        <w:t xml:space="preserve"> Institute, jakub.sandak@upr.si</w:t>
      </w:r>
    </w:p>
    <w:p w14:paraId="7E05CFCB" w14:textId="77777777" w:rsidR="00765C6E" w:rsidRPr="00765C6E" w:rsidRDefault="00765C6E" w:rsidP="00765C6E">
      <w:pPr>
        <w:pStyle w:val="Affiliation"/>
        <w:spacing w:before="0"/>
        <w:rPr>
          <w:szCs w:val="22"/>
          <w:lang w:val="en-GB"/>
        </w:rPr>
      </w:pPr>
      <w:r w:rsidRPr="00765C6E">
        <w:rPr>
          <w:szCs w:val="22"/>
          <w:vertAlign w:val="superscript"/>
          <w:lang w:val="en-GB"/>
        </w:rPr>
        <w:t>3</w:t>
      </w:r>
      <w:r w:rsidRPr="00765C6E">
        <w:rPr>
          <w:szCs w:val="22"/>
          <w:lang w:val="en-GB"/>
        </w:rPr>
        <w:t xml:space="preserve"> University of </w:t>
      </w:r>
      <w:proofErr w:type="spellStart"/>
      <w:r w:rsidRPr="00765C6E">
        <w:rPr>
          <w:szCs w:val="22"/>
          <w:lang w:val="en-GB"/>
        </w:rPr>
        <w:t>Primorska</w:t>
      </w:r>
      <w:proofErr w:type="spellEnd"/>
      <w:r w:rsidRPr="00765C6E">
        <w:rPr>
          <w:szCs w:val="22"/>
          <w:lang w:val="en-GB"/>
        </w:rPr>
        <w:t xml:space="preserve">, Faculty of Mathematics, Natural Sciences and Information Technologies, </w:t>
      </w:r>
      <w:proofErr w:type="spellStart"/>
      <w:r w:rsidRPr="00765C6E">
        <w:rPr>
          <w:szCs w:val="22"/>
          <w:lang w:val="en-GB"/>
        </w:rPr>
        <w:t>Glagoljaška</w:t>
      </w:r>
      <w:proofErr w:type="spellEnd"/>
      <w:r w:rsidRPr="00765C6E">
        <w:rPr>
          <w:szCs w:val="22"/>
          <w:lang w:val="en-GB"/>
        </w:rPr>
        <w:t xml:space="preserve"> 8, 6000 Koper, Slovenia, anna.sandak@famnit.upr.si</w:t>
      </w:r>
    </w:p>
    <w:p w14:paraId="40019FFF" w14:textId="77777777" w:rsidR="00765C6E" w:rsidRPr="00765C6E" w:rsidRDefault="00765C6E" w:rsidP="00765C6E">
      <w:pPr>
        <w:pStyle w:val="Affiliation"/>
        <w:spacing w:before="0"/>
        <w:rPr>
          <w:szCs w:val="22"/>
          <w:lang w:val="en-GB"/>
        </w:rPr>
      </w:pPr>
      <w:r w:rsidRPr="00765C6E">
        <w:rPr>
          <w:szCs w:val="22"/>
          <w:vertAlign w:val="superscript"/>
          <w:lang w:val="en-GB"/>
        </w:rPr>
        <w:t>4</w:t>
      </w:r>
      <w:r w:rsidRPr="00765C6E">
        <w:rPr>
          <w:szCs w:val="22"/>
          <w:lang w:val="en-GB"/>
        </w:rPr>
        <w:t xml:space="preserve"> Institute for the Protection of Cultural Heritage of Slovenia, </w:t>
      </w:r>
      <w:proofErr w:type="spellStart"/>
      <w:r w:rsidRPr="00765C6E">
        <w:rPr>
          <w:szCs w:val="22"/>
          <w:lang w:val="en-GB"/>
        </w:rPr>
        <w:t>Poljanska</w:t>
      </w:r>
      <w:proofErr w:type="spellEnd"/>
      <w:r w:rsidRPr="00765C6E">
        <w:rPr>
          <w:szCs w:val="22"/>
          <w:lang w:val="en-GB"/>
        </w:rPr>
        <w:t xml:space="preserve"> 40, SI-1000 Ljubljana, Slovenia, lea.legan@zvkds.si, klara.retko@zvkds.si, masa.kavcic@zvkds.si, janez.kosel@zvkds.si, </w:t>
      </w:r>
      <w:proofErr w:type="spellStart"/>
      <w:r w:rsidRPr="00765C6E">
        <w:rPr>
          <w:szCs w:val="22"/>
          <w:lang w:val="en-GB"/>
        </w:rPr>
        <w:t>crtomir.tavzes</w:t>
      </w:r>
      <w:proofErr w:type="spellEnd"/>
      <w:r w:rsidRPr="00765C6E">
        <w:rPr>
          <w:szCs w:val="22"/>
          <w:lang w:val="en-GB"/>
        </w:rPr>
        <w:t>@ zvkds.si, polona.ropret@zvkds.si</w:t>
      </w:r>
    </w:p>
    <w:p w14:paraId="1963E037" w14:textId="77777777" w:rsidR="00765C6E" w:rsidRPr="00765C6E" w:rsidRDefault="00765C6E" w:rsidP="00765C6E">
      <w:pPr>
        <w:pStyle w:val="Affiliation"/>
        <w:spacing w:before="0"/>
        <w:rPr>
          <w:szCs w:val="22"/>
          <w:lang w:val="en-GB"/>
        </w:rPr>
      </w:pPr>
      <w:r w:rsidRPr="00765C6E">
        <w:rPr>
          <w:szCs w:val="22"/>
          <w:vertAlign w:val="superscript"/>
          <w:lang w:val="en-GB"/>
        </w:rPr>
        <w:t>5</w:t>
      </w:r>
      <w:r w:rsidRPr="00765C6E">
        <w:rPr>
          <w:szCs w:val="22"/>
          <w:lang w:val="en-GB"/>
        </w:rPr>
        <w:t xml:space="preserve"> Aalto University, School of Chemical Engineering, Department of Bioproducts and Biosystems, P.O. Box 16300, 00076, Aalto, Finland</w:t>
      </w:r>
    </w:p>
    <w:p w14:paraId="008E7137" w14:textId="279D6B02" w:rsidR="00B57FD3" w:rsidRPr="00765C6E" w:rsidRDefault="00765C6E" w:rsidP="00765C6E">
      <w:pPr>
        <w:pStyle w:val="Affiliation"/>
        <w:spacing w:before="0"/>
        <w:rPr>
          <w:szCs w:val="22"/>
          <w:lang w:val="en-GB"/>
        </w:rPr>
      </w:pPr>
      <w:r w:rsidRPr="00765C6E">
        <w:rPr>
          <w:szCs w:val="22"/>
          <w:vertAlign w:val="superscript"/>
          <w:lang w:val="en-GB"/>
        </w:rPr>
        <w:t>6</w:t>
      </w:r>
      <w:r w:rsidRPr="00765C6E">
        <w:rPr>
          <w:szCs w:val="22"/>
          <w:lang w:val="en-GB"/>
        </w:rPr>
        <w:t xml:space="preserve"> Chemical and Environmental Engineering Department, University of the Basque Country, San Sebastian, Spain</w:t>
      </w:r>
    </w:p>
    <w:p w14:paraId="548D83EC" w14:textId="239D050D" w:rsidR="006B7AC0" w:rsidRPr="006B7AC0" w:rsidRDefault="006B7AC0" w:rsidP="006B7AC0">
      <w:pPr>
        <w:pStyle w:val="AbstractBodyText"/>
        <w:rPr>
          <w:lang w:val="it-IT"/>
        </w:rPr>
      </w:pPr>
      <w:r w:rsidRPr="006B7AC0">
        <w:rPr>
          <w:lang w:val="it-IT"/>
        </w:rPr>
        <w:t>Numerosi metodi analitici po</w:t>
      </w:r>
      <w:r w:rsidR="00960E9A">
        <w:rPr>
          <w:lang w:val="it-IT"/>
        </w:rPr>
        <w:t>ssono</w:t>
      </w:r>
      <w:r w:rsidRPr="006B7AC0">
        <w:rPr>
          <w:lang w:val="it-IT"/>
        </w:rPr>
        <w:t xml:space="preserve"> essere implementati per studiare l’autenticità, </w:t>
      </w:r>
      <w:r w:rsidR="00547D3C">
        <w:rPr>
          <w:lang w:val="it-IT"/>
        </w:rPr>
        <w:t xml:space="preserve">la </w:t>
      </w:r>
      <w:r w:rsidRPr="006B7AC0">
        <w:rPr>
          <w:lang w:val="it-IT"/>
        </w:rPr>
        <w:t xml:space="preserve">composizione e </w:t>
      </w:r>
      <w:r w:rsidR="00547D3C">
        <w:rPr>
          <w:lang w:val="it-IT"/>
        </w:rPr>
        <w:t xml:space="preserve">lo </w:t>
      </w:r>
      <w:r w:rsidRPr="006B7AC0">
        <w:rPr>
          <w:lang w:val="it-IT"/>
        </w:rPr>
        <w:t>stato di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conservazione di opere d’arte. Tuttavia, </w:t>
      </w:r>
      <w:r w:rsidR="00960E9A">
        <w:rPr>
          <w:lang w:val="it-IT"/>
        </w:rPr>
        <w:t xml:space="preserve">molti di questi </w:t>
      </w:r>
      <w:r w:rsidR="000E4A10">
        <w:rPr>
          <w:lang w:val="it-IT"/>
        </w:rPr>
        <w:t xml:space="preserve">metodi </w:t>
      </w:r>
      <w:r w:rsidR="000E4A10" w:rsidRPr="006B7AC0">
        <w:rPr>
          <w:lang w:val="it-IT"/>
        </w:rPr>
        <w:t>richiedono</w:t>
      </w:r>
      <w:r w:rsidRPr="006B7AC0">
        <w:rPr>
          <w:lang w:val="it-IT"/>
        </w:rPr>
        <w:t xml:space="preserve"> tempo, sono costosi o distruttivi.</w:t>
      </w:r>
      <w:r>
        <w:rPr>
          <w:lang w:val="it-IT"/>
        </w:rPr>
        <w:t xml:space="preserve"> </w:t>
      </w:r>
      <w:r w:rsidRPr="006B7AC0">
        <w:rPr>
          <w:lang w:val="it-IT"/>
        </w:rPr>
        <w:t>L’utilizzo di tecniche alternative non distruttive e con alta affidabilità è, di conseguenza, di grande interesse</w:t>
      </w:r>
      <w:r>
        <w:rPr>
          <w:lang w:val="it-IT"/>
        </w:rPr>
        <w:t xml:space="preserve"> </w:t>
      </w:r>
      <w:r w:rsidRPr="006B7AC0">
        <w:rPr>
          <w:lang w:val="it-IT"/>
        </w:rPr>
        <w:t>per restauratori e ricerca</w:t>
      </w:r>
      <w:r w:rsidR="00547D3C">
        <w:rPr>
          <w:lang w:val="it-IT"/>
        </w:rPr>
        <w:t xml:space="preserve">tori. Questo lavoro </w:t>
      </w:r>
      <w:r w:rsidR="00960E9A">
        <w:rPr>
          <w:lang w:val="it-IT"/>
        </w:rPr>
        <w:t>mostra l’</w:t>
      </w:r>
      <w:r w:rsidRPr="006B7AC0">
        <w:rPr>
          <w:lang w:val="it-IT"/>
        </w:rPr>
        <w:t>implementazione delle immagini iperspettrali (HI) per</w:t>
      </w:r>
      <w:r>
        <w:rPr>
          <w:lang w:val="it-IT"/>
        </w:rPr>
        <w:t xml:space="preserve"> </w:t>
      </w:r>
      <w:r w:rsidRPr="006B7AC0">
        <w:rPr>
          <w:lang w:val="it-IT"/>
        </w:rPr>
        <w:t>la valutazione di</w:t>
      </w:r>
      <w:r w:rsidR="00C92352">
        <w:rPr>
          <w:lang w:val="it-IT"/>
        </w:rPr>
        <w:t xml:space="preserve"> </w:t>
      </w:r>
      <w:r w:rsidR="000E4A10">
        <w:rPr>
          <w:lang w:val="it-IT"/>
        </w:rPr>
        <w:t xml:space="preserve">manufatti artistici </w:t>
      </w:r>
      <w:r w:rsidRPr="006B7AC0">
        <w:rPr>
          <w:lang w:val="it-IT"/>
        </w:rPr>
        <w:t>. Cinque camere iperspettrali prodotte da SPECIM (Oulu,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Finlandia) che operano in diverse gamme spettrali sono state usate per scannerizzare un </w:t>
      </w:r>
      <w:r w:rsidR="00866AD5">
        <w:rPr>
          <w:lang w:val="it-IT"/>
        </w:rPr>
        <w:t xml:space="preserve">pannello di arnia dipinto </w:t>
      </w:r>
      <w:r w:rsidRPr="006B7AC0">
        <w:rPr>
          <w:lang w:val="it-IT"/>
        </w:rPr>
        <w:t>ottenuto da una collezione del Museo Etnografico Sloveno. Tutte le camere hanno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operato nella modalità ‘push broom’, permettendo una misurazione spettrale linea per linea. </w:t>
      </w:r>
      <w:r w:rsidR="000E4A10" w:rsidRPr="00603382">
        <w:rPr>
          <w:lang w:val="it-IT"/>
        </w:rPr>
        <w:t xml:space="preserve">Standard </w:t>
      </w:r>
      <w:r w:rsidRPr="00603382">
        <w:rPr>
          <w:lang w:val="it-IT"/>
        </w:rPr>
        <w:t xml:space="preserve">di riferimento bianchi (spectralon) e neri (detector noise) sono stati misurati prima di ogni </w:t>
      </w:r>
      <w:r w:rsidR="000E4A10" w:rsidRPr="00603382">
        <w:rPr>
          <w:lang w:val="it-IT"/>
        </w:rPr>
        <w:t>acquisizione</w:t>
      </w:r>
      <w:r w:rsidR="00C92352">
        <w:rPr>
          <w:lang w:val="it-IT"/>
        </w:rPr>
        <w:t xml:space="preserve"> </w:t>
      </w:r>
      <w:r w:rsidRPr="00603382">
        <w:rPr>
          <w:lang w:val="it-IT"/>
        </w:rPr>
        <w:t>del pannello</w:t>
      </w:r>
      <w:r w:rsidRPr="006B7AC0">
        <w:rPr>
          <w:lang w:val="it-IT"/>
        </w:rPr>
        <w:t xml:space="preserve">. </w:t>
      </w:r>
      <w:r w:rsidR="00643A16">
        <w:rPr>
          <w:lang w:val="it-IT"/>
        </w:rPr>
        <w:t>C</w:t>
      </w:r>
      <w:r w:rsidR="00643A16" w:rsidRPr="006B7AC0">
        <w:rPr>
          <w:lang w:val="it-IT"/>
        </w:rPr>
        <w:t xml:space="preserve">ome </w:t>
      </w:r>
      <w:r w:rsidR="00643A16">
        <w:rPr>
          <w:lang w:val="it-IT"/>
        </w:rPr>
        <w:t>sorgenti p</w:t>
      </w:r>
      <w:r w:rsidR="00866AD5" w:rsidRPr="006B7AC0">
        <w:rPr>
          <w:lang w:val="it-IT"/>
        </w:rPr>
        <w:t xml:space="preserve">er </w:t>
      </w:r>
      <w:r w:rsidR="00866AD5">
        <w:rPr>
          <w:lang w:val="it-IT"/>
        </w:rPr>
        <w:t xml:space="preserve">le </w:t>
      </w:r>
      <w:r w:rsidR="00866AD5" w:rsidRPr="006B7AC0">
        <w:rPr>
          <w:lang w:val="it-IT"/>
        </w:rPr>
        <w:t xml:space="preserve">camere VNIR, NIR e SWIR sono state utilizzate </w:t>
      </w:r>
      <w:r w:rsidR="00866AD5">
        <w:rPr>
          <w:lang w:val="it-IT"/>
        </w:rPr>
        <w:t>dell</w:t>
      </w:r>
      <w:r w:rsidR="00866AD5" w:rsidRPr="006B7AC0">
        <w:rPr>
          <w:lang w:val="it-IT"/>
        </w:rPr>
        <w:t xml:space="preserve">e </w:t>
      </w:r>
      <w:r w:rsidR="00866AD5">
        <w:rPr>
          <w:lang w:val="it-IT"/>
        </w:rPr>
        <w:t>l</w:t>
      </w:r>
      <w:r w:rsidRPr="006B7AC0">
        <w:rPr>
          <w:lang w:val="it-IT"/>
        </w:rPr>
        <w:t>ampade alogene, mentre</w:t>
      </w:r>
      <w:r>
        <w:rPr>
          <w:lang w:val="it-IT"/>
        </w:rPr>
        <w:t xml:space="preserve"> </w:t>
      </w:r>
      <w:r w:rsidR="00866AD5" w:rsidRPr="006B7AC0">
        <w:rPr>
          <w:lang w:val="it-IT"/>
        </w:rPr>
        <w:t xml:space="preserve">per i sistemi MWIR e LWIR sono state utilizzate </w:t>
      </w:r>
      <w:r w:rsidRPr="006B7AC0">
        <w:rPr>
          <w:lang w:val="it-IT"/>
        </w:rPr>
        <w:t>radiazioni di calore. Il software Evince di Prediktera (Umea,</w:t>
      </w:r>
      <w:r>
        <w:rPr>
          <w:lang w:val="it-IT"/>
        </w:rPr>
        <w:t xml:space="preserve"> </w:t>
      </w:r>
      <w:r w:rsidRPr="006B7AC0">
        <w:rPr>
          <w:lang w:val="it-IT"/>
        </w:rPr>
        <w:t>Svezia) è stato utilizzato per analizzare e</w:t>
      </w:r>
      <w:r w:rsidR="00960E9A">
        <w:rPr>
          <w:lang w:val="it-IT"/>
        </w:rPr>
        <w:t>d</w:t>
      </w:r>
      <w:r w:rsidRPr="006B7AC0">
        <w:rPr>
          <w:lang w:val="it-IT"/>
        </w:rPr>
        <w:t xml:space="preserve"> esplorare le immagini iperspettrali. Standard normal variate (SNV) e</w:t>
      </w:r>
      <w:r>
        <w:rPr>
          <w:lang w:val="it-IT"/>
        </w:rPr>
        <w:t xml:space="preserve"> </w:t>
      </w:r>
      <w:r w:rsidR="00960E9A">
        <w:rPr>
          <w:lang w:val="it-IT"/>
        </w:rPr>
        <w:t>mean centering sono stati applicati</w:t>
      </w:r>
      <w:r w:rsidRPr="006B7AC0">
        <w:rPr>
          <w:lang w:val="it-IT"/>
        </w:rPr>
        <w:t xml:space="preserve"> come </w:t>
      </w:r>
      <w:r w:rsidR="00960E9A">
        <w:rPr>
          <w:lang w:val="it-IT"/>
        </w:rPr>
        <w:t>pretrattamento</w:t>
      </w:r>
      <w:r w:rsidRPr="006B7AC0">
        <w:rPr>
          <w:lang w:val="it-IT"/>
        </w:rPr>
        <w:t xml:space="preserve"> </w:t>
      </w:r>
      <w:r w:rsidR="00960E9A">
        <w:rPr>
          <w:lang w:val="it-IT"/>
        </w:rPr>
        <w:t>prima di effettuare la</w:t>
      </w:r>
      <w:r w:rsidRPr="006B7AC0">
        <w:rPr>
          <w:lang w:val="it-IT"/>
        </w:rPr>
        <w:t xml:space="preserve"> PCA.</w:t>
      </w:r>
    </w:p>
    <w:p w14:paraId="197C59CA" w14:textId="16987123" w:rsidR="006B7AC0" w:rsidRPr="006B7AC0" w:rsidRDefault="006B7AC0" w:rsidP="006B7AC0">
      <w:pPr>
        <w:pStyle w:val="AbstractBodyText"/>
        <w:rPr>
          <w:lang w:val="it-IT"/>
        </w:rPr>
      </w:pPr>
      <w:r w:rsidRPr="006B7AC0">
        <w:rPr>
          <w:lang w:val="it-IT"/>
        </w:rPr>
        <w:t>Metodi precisi e veloci come HI, forniscono informazioni riguardanti non solo alcuni pigmenti e leganti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utilizzati, ma permettono anche la loro mappatura sull’intero oggetto. </w:t>
      </w:r>
      <w:r w:rsidR="00960E9A">
        <w:rPr>
          <w:lang w:val="it-IT"/>
        </w:rPr>
        <w:t>Gli score plot</w:t>
      </w:r>
      <w:r w:rsidRPr="006B7AC0">
        <w:rPr>
          <w:lang w:val="it-IT"/>
        </w:rPr>
        <w:t xml:space="preserve"> ottenuti, sotto</w:t>
      </w:r>
      <w:r>
        <w:rPr>
          <w:lang w:val="it-IT"/>
        </w:rPr>
        <w:t xml:space="preserve"> </w:t>
      </w:r>
      <w:r w:rsidRPr="006B7AC0">
        <w:rPr>
          <w:lang w:val="it-IT"/>
        </w:rPr>
        <w:t>forma di pixel spazialmente risolti, contengono anche informazioni riguardanti similitudini, raggruppamenti e</w:t>
      </w:r>
      <w:r>
        <w:rPr>
          <w:lang w:val="it-IT"/>
        </w:rPr>
        <w:t xml:space="preserve"> </w:t>
      </w:r>
      <w:r w:rsidR="00735031">
        <w:rPr>
          <w:lang w:val="it-IT"/>
        </w:rPr>
        <w:t>trend</w:t>
      </w:r>
      <w:r w:rsidRPr="006B7AC0">
        <w:rPr>
          <w:lang w:val="it-IT"/>
        </w:rPr>
        <w:t xml:space="preserve"> che caratterizzano l’oggetto. </w:t>
      </w:r>
      <w:r w:rsidR="00960E9A">
        <w:rPr>
          <w:lang w:val="it-IT"/>
        </w:rPr>
        <w:t>L’analisi dei loadings ha permesso l’identificazione</w:t>
      </w:r>
      <w:r w:rsidRPr="006B7AC0">
        <w:rPr>
          <w:lang w:val="it-IT"/>
        </w:rPr>
        <w:t xml:space="preserve"> </w:t>
      </w:r>
      <w:r w:rsidR="00960E9A">
        <w:rPr>
          <w:lang w:val="it-IT"/>
        </w:rPr>
        <w:t xml:space="preserve">di </w:t>
      </w:r>
      <w:r w:rsidRPr="006B7AC0">
        <w:rPr>
          <w:lang w:val="it-IT"/>
        </w:rPr>
        <w:t xml:space="preserve">regioni specifiche </w:t>
      </w:r>
      <w:r w:rsidR="00960E9A">
        <w:rPr>
          <w:lang w:val="it-IT"/>
        </w:rPr>
        <w:t>dello spettro che hanno contribuito alla</w:t>
      </w:r>
      <w:r w:rsidRPr="006B7AC0">
        <w:rPr>
          <w:lang w:val="it-IT"/>
        </w:rPr>
        <w:t xml:space="preserve"> alta varianza in alcuni modelli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PCA. Nel nostro studio, </w:t>
      </w:r>
      <w:r w:rsidR="00547D3C">
        <w:rPr>
          <w:lang w:val="it-IT"/>
        </w:rPr>
        <w:t xml:space="preserve">la </w:t>
      </w:r>
      <w:r w:rsidRPr="006B7AC0">
        <w:rPr>
          <w:lang w:val="it-IT"/>
        </w:rPr>
        <w:t>scannerizzazione HI è stata comparata con altri metodi spettroscopici, come</w:t>
      </w:r>
      <w:r>
        <w:rPr>
          <w:lang w:val="it-IT"/>
        </w:rPr>
        <w:t xml:space="preserve"> </w:t>
      </w:r>
      <w:r w:rsidR="00547D3C">
        <w:rPr>
          <w:lang w:val="it-IT"/>
        </w:rPr>
        <w:t xml:space="preserve">la spettroscopia </w:t>
      </w:r>
      <w:r w:rsidRPr="006B7AC0">
        <w:rPr>
          <w:lang w:val="it-IT"/>
        </w:rPr>
        <w:t>Raman e FT-IR</w:t>
      </w:r>
      <w:r w:rsidR="00547D3C">
        <w:rPr>
          <w:lang w:val="it-IT"/>
        </w:rPr>
        <w:t>,</w:t>
      </w:r>
      <w:r w:rsidRPr="006B7AC0">
        <w:rPr>
          <w:lang w:val="it-IT"/>
        </w:rPr>
        <w:t xml:space="preserve"> che sono usate comunemente per l’identificazione di pigmenti e leganti degli</w:t>
      </w:r>
      <w:r>
        <w:rPr>
          <w:lang w:val="it-IT"/>
        </w:rPr>
        <w:t xml:space="preserve"> </w:t>
      </w:r>
      <w:r w:rsidRPr="006B7AC0">
        <w:rPr>
          <w:lang w:val="it-IT"/>
        </w:rPr>
        <w:t xml:space="preserve">oggetti investigati (Retko et al. 2019). Di conseguenza, la </w:t>
      </w:r>
      <w:r w:rsidR="00603382">
        <w:rPr>
          <w:lang w:val="it-IT"/>
        </w:rPr>
        <w:t>combinazione</w:t>
      </w:r>
      <w:r w:rsidR="00603382" w:rsidRPr="006B7AC0">
        <w:rPr>
          <w:lang w:val="it-IT"/>
        </w:rPr>
        <w:t xml:space="preserve"> </w:t>
      </w:r>
      <w:r w:rsidRPr="006B7AC0">
        <w:rPr>
          <w:lang w:val="it-IT"/>
        </w:rPr>
        <w:t xml:space="preserve">di HI con altri metodi di riferimento </w:t>
      </w:r>
      <w:r w:rsidR="00547D3C">
        <w:rPr>
          <w:lang w:val="it-IT"/>
        </w:rPr>
        <w:t>ha portato alla generazione di un ricco</w:t>
      </w:r>
      <w:r w:rsidRPr="006B7AC0">
        <w:rPr>
          <w:lang w:val="it-IT"/>
        </w:rPr>
        <w:t xml:space="preserve"> database che permette una precisa identificazione di materiali</w:t>
      </w:r>
      <w:r>
        <w:rPr>
          <w:lang w:val="it-IT"/>
        </w:rPr>
        <w:t xml:space="preserve"> </w:t>
      </w:r>
      <w:r w:rsidRPr="006B7AC0">
        <w:rPr>
          <w:lang w:val="it-IT"/>
        </w:rPr>
        <w:t>artistici originali, come anche altri additivi che possono essere stati applicati successivamente (per esempio</w:t>
      </w:r>
      <w:r>
        <w:rPr>
          <w:lang w:val="it-IT"/>
        </w:rPr>
        <w:t xml:space="preserve"> </w:t>
      </w:r>
      <w:r w:rsidRPr="006B7AC0">
        <w:rPr>
          <w:lang w:val="it-IT"/>
        </w:rPr>
        <w:t>durante</w:t>
      </w:r>
      <w:r w:rsidR="00D85DAA">
        <w:rPr>
          <w:lang w:val="it-IT"/>
        </w:rPr>
        <w:t xml:space="preserve"> </w:t>
      </w:r>
      <w:r w:rsidR="00603382">
        <w:rPr>
          <w:lang w:val="it-IT"/>
        </w:rPr>
        <w:t>interventi</w:t>
      </w:r>
      <w:r w:rsidR="00547D3C">
        <w:rPr>
          <w:lang w:val="it-IT"/>
        </w:rPr>
        <w:t xml:space="preserve"> di conservazione</w:t>
      </w:r>
      <w:r w:rsidRPr="006B7AC0">
        <w:rPr>
          <w:lang w:val="it-IT"/>
        </w:rPr>
        <w:t>).</w:t>
      </w:r>
    </w:p>
    <w:p w14:paraId="516A7EB5" w14:textId="3919EC76" w:rsidR="00C141DE" w:rsidRPr="00E83389" w:rsidRDefault="00E83389" w:rsidP="006B7AC0">
      <w:pPr>
        <w:pStyle w:val="AbstractBodyText"/>
        <w:rPr>
          <w:lang w:val="it-IT"/>
        </w:rPr>
      </w:pPr>
      <w:r w:rsidRPr="00E83389">
        <w:rPr>
          <w:b/>
          <w:lang w:val="it-IT"/>
        </w:rPr>
        <w:lastRenderedPageBreak/>
        <w:t>Parole chiave</w:t>
      </w:r>
      <w:r w:rsidR="00C141DE" w:rsidRPr="00E83389">
        <w:rPr>
          <w:b/>
          <w:lang w:val="it-IT"/>
        </w:rPr>
        <w:t xml:space="preserve">: </w:t>
      </w:r>
      <w:r w:rsidRPr="00E83389">
        <w:rPr>
          <w:lang w:val="it-IT"/>
        </w:rPr>
        <w:t xml:space="preserve">immagini iperspettrali, patrimonio culturale, dipinti </w:t>
      </w:r>
      <w:r w:rsidR="0052795E">
        <w:rPr>
          <w:lang w:val="it-IT"/>
        </w:rPr>
        <w:t>su</w:t>
      </w:r>
      <w:r w:rsidRPr="00E83389">
        <w:rPr>
          <w:lang w:val="it-IT"/>
        </w:rPr>
        <w:t xml:space="preserve"> pannelli di </w:t>
      </w:r>
      <w:r w:rsidR="0052795E">
        <w:rPr>
          <w:lang w:val="it-IT"/>
        </w:rPr>
        <w:t>arnia.</w:t>
      </w:r>
    </w:p>
    <w:p w14:paraId="0EA2DA0F" w14:textId="367F9FFC" w:rsidR="00285BED" w:rsidRPr="00285BED" w:rsidRDefault="00E83389" w:rsidP="00285BED">
      <w:pPr>
        <w:pStyle w:val="AbstractBodyText"/>
        <w:rPr>
          <w:lang w:val="it-IT"/>
        </w:rPr>
      </w:pPr>
      <w:r w:rsidRPr="00285BED">
        <w:rPr>
          <w:b/>
          <w:lang w:val="it-IT"/>
        </w:rPr>
        <w:t>Ringraziamenti</w:t>
      </w:r>
      <w:r w:rsidR="009D7944" w:rsidRPr="00285BED">
        <w:rPr>
          <w:b/>
          <w:lang w:val="it-IT"/>
        </w:rPr>
        <w:t xml:space="preserve">: </w:t>
      </w:r>
      <w:r w:rsidR="00285BED" w:rsidRPr="00285BED">
        <w:rPr>
          <w:lang w:val="it-IT"/>
        </w:rPr>
        <w:t>Gli autori r</w:t>
      </w:r>
      <w:r w:rsidR="00350636">
        <w:rPr>
          <w:lang w:val="it-IT"/>
        </w:rPr>
        <w:t>ingraziano</w:t>
      </w:r>
      <w:r w:rsidR="00285BED" w:rsidRPr="00285BED">
        <w:rPr>
          <w:lang w:val="it-IT"/>
        </w:rPr>
        <w:t xml:space="preserve"> la Commissione Europea per il finanziamento</w:t>
      </w:r>
      <w:r w:rsidR="00285BED">
        <w:rPr>
          <w:lang w:val="it-IT"/>
        </w:rPr>
        <w:t xml:space="preserve"> </w:t>
      </w:r>
      <w:r w:rsidR="00285BED" w:rsidRPr="00285BED">
        <w:rPr>
          <w:lang w:val="it-IT"/>
        </w:rPr>
        <w:t>del progetto InnoRenew (grant agreement #739574) sotto il programma Horizon2020 Widespread-Teaming</w:t>
      </w:r>
      <w:r w:rsidR="00285BED">
        <w:rPr>
          <w:lang w:val="it-IT"/>
        </w:rPr>
        <w:t xml:space="preserve"> </w:t>
      </w:r>
      <w:r w:rsidR="00285BED" w:rsidRPr="00285BED">
        <w:rPr>
          <w:lang w:val="it-IT"/>
        </w:rPr>
        <w:t>e la Repubblica di Slovenia (finanziamento investimento della repubblica di Slovenia e del Fondo dell’Unione Europea per lo sviluppo regionale (European Union Regional Development Fund).</w:t>
      </w:r>
    </w:p>
    <w:p w14:paraId="7A8B5384" w14:textId="63720744" w:rsidR="00285BED" w:rsidRPr="00285BED" w:rsidRDefault="00285BED" w:rsidP="00285BED">
      <w:pPr>
        <w:pStyle w:val="AbstractBodyText"/>
        <w:rPr>
          <w:lang w:val="it-IT"/>
        </w:rPr>
      </w:pPr>
      <w:r w:rsidRPr="00285BED">
        <w:rPr>
          <w:lang w:val="it-IT"/>
        </w:rPr>
        <w:t>Gli autori ri</w:t>
      </w:r>
      <w:r w:rsidR="008F6003">
        <w:rPr>
          <w:lang w:val="it-IT"/>
        </w:rPr>
        <w:t xml:space="preserve">ngraziano </w:t>
      </w:r>
      <w:r w:rsidRPr="00285BED">
        <w:rPr>
          <w:lang w:val="it-IT"/>
        </w:rPr>
        <w:t xml:space="preserve">il Museo Etnografico Sloveno per la fornitura del dipinto di pannelli di </w:t>
      </w:r>
      <w:r w:rsidR="00267723">
        <w:rPr>
          <w:lang w:val="it-IT"/>
        </w:rPr>
        <w:t>arnia</w:t>
      </w:r>
      <w:r w:rsidRPr="00285BED">
        <w:rPr>
          <w:lang w:val="it-IT"/>
        </w:rPr>
        <w:t xml:space="preserve"> per l’analisi spettroscopica</w:t>
      </w:r>
    </w:p>
    <w:p w14:paraId="7769E30F" w14:textId="4BD9B897" w:rsidR="00B57FD3" w:rsidRPr="00285BED" w:rsidRDefault="00E83389" w:rsidP="00285BED">
      <w:pPr>
        <w:pStyle w:val="AbstractBodyText"/>
        <w:rPr>
          <w:b/>
          <w:bCs/>
          <w:lang w:val="en-GB"/>
        </w:rPr>
      </w:pPr>
      <w:r w:rsidRPr="00285BED">
        <w:rPr>
          <w:b/>
          <w:bCs/>
          <w:lang w:val="en-GB"/>
        </w:rPr>
        <w:t>BIBLIOGRAFIA</w:t>
      </w:r>
      <w:r w:rsidR="00F17B89" w:rsidRPr="00285BED">
        <w:rPr>
          <w:b/>
          <w:bCs/>
          <w:lang w:val="en-GB"/>
        </w:rPr>
        <w:t xml:space="preserve"> </w:t>
      </w:r>
    </w:p>
    <w:p w14:paraId="2DB31C4B" w14:textId="4A4A10CF" w:rsidR="00F17B89" w:rsidRPr="00CA258B" w:rsidRDefault="00C141DE" w:rsidP="00470C84">
      <w:pPr>
        <w:pStyle w:val="Reference"/>
        <w:rPr>
          <w:lang w:val="en-GB"/>
        </w:rPr>
      </w:pPr>
      <w:r w:rsidRPr="00CA258B">
        <w:rPr>
          <w:lang w:val="en-GB"/>
        </w:rPr>
        <w:fldChar w:fldCharType="begin" w:fldLock="1"/>
      </w:r>
      <w:r w:rsidRPr="00CA258B">
        <w:rPr>
          <w:lang w:val="en-GB"/>
        </w:rPr>
        <w:instrText xml:space="preserve">ADDIN Mendeley Bibliography CSL_BIBLIOGRAPHY </w:instrText>
      </w:r>
      <w:r w:rsidRPr="00CA258B">
        <w:rPr>
          <w:lang w:val="en-GB"/>
        </w:rPr>
        <w:fldChar w:fldCharType="separate"/>
      </w:r>
      <w:r w:rsidR="0075384D" w:rsidRPr="0075384D">
        <w:rPr>
          <w:noProof/>
          <w:lang w:val="en-GB"/>
        </w:rPr>
        <w:t>Retko, K, Kavčič, M, Legan, L, Penko, A, Tavzes, Č, Ropret, P (2019) Beehive panel paintings: material characterisation. Proceedings of Technart 2019, International Conference on Use of Analytical Techniques for Characterization of Artworks, 7-10 May, Brugge, Belgium</w:t>
      </w:r>
      <w:r w:rsidRPr="00CA258B">
        <w:rPr>
          <w:lang w:val="en-GB"/>
        </w:rPr>
        <w:fldChar w:fldCharType="end"/>
      </w:r>
    </w:p>
    <w:sectPr w:rsidR="00F17B89" w:rsidRPr="00CA258B" w:rsidSect="00F4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D843" w14:textId="77777777" w:rsidR="007E762B" w:rsidRDefault="007E762B">
      <w:r>
        <w:separator/>
      </w:r>
    </w:p>
  </w:endnote>
  <w:endnote w:type="continuationSeparator" w:id="0">
    <w:p w14:paraId="26D89ED2" w14:textId="77777777" w:rsidR="007E762B" w:rsidRDefault="007E762B">
      <w:r>
        <w:continuationSeparator/>
      </w:r>
    </w:p>
  </w:endnote>
  <w:endnote w:type="continuationNotice" w:id="1">
    <w:p w14:paraId="59E42042" w14:textId="77777777" w:rsidR="007E762B" w:rsidRDefault="007E7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D751" w14:textId="77777777" w:rsidR="0091516C" w:rsidRDefault="0091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B87E" w14:textId="77777777" w:rsidR="0091516C" w:rsidRDefault="00915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063B" w14:textId="77777777" w:rsidR="0091516C" w:rsidRDefault="00915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458A" w14:textId="77777777" w:rsidR="007E762B" w:rsidRDefault="007E762B">
      <w:r>
        <w:separator/>
      </w:r>
    </w:p>
  </w:footnote>
  <w:footnote w:type="continuationSeparator" w:id="0">
    <w:p w14:paraId="1774A3B4" w14:textId="77777777" w:rsidR="007E762B" w:rsidRDefault="007E762B">
      <w:r>
        <w:continuationSeparator/>
      </w:r>
    </w:p>
  </w:footnote>
  <w:footnote w:type="continuationNotice" w:id="1">
    <w:p w14:paraId="7FAE9175" w14:textId="77777777" w:rsidR="007E762B" w:rsidRDefault="007E7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045DD5" w:rsidRDefault="00045DD5">
    <w:pPr>
      <w:pStyle w:val="Nagwek"/>
    </w:pPr>
  </w:p>
  <w:p w14:paraId="4865C848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D6F9F4B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B31" w14:textId="77777777" w:rsidR="00B57FD3" w:rsidRDefault="00B57FD3">
    <w:pPr>
      <w:pStyle w:val="Nagwek"/>
    </w:pPr>
  </w:p>
  <w:p w14:paraId="3FB5125E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0FF9ED0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458" w14:textId="77777777" w:rsidR="00F46A13" w:rsidRDefault="0071430C" w:rsidP="00F46A13">
    <w:pPr>
      <w:pStyle w:val="Nagwek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val="it-IT" w:eastAsia="it-IT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  <w:lang w:val="it-IT" w:eastAsia="it-IT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73F60BF0" w14:textId="77777777" w:rsidR="00F46A13" w:rsidRDefault="0071430C" w:rsidP="00F46A13">
    <w:pPr>
      <w:pStyle w:val="Nagwek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B57FD3" w:rsidRPr="0071430C" w:rsidRDefault="00045DD5" w:rsidP="00F46A13">
    <w:pPr>
      <w:pStyle w:val="Nagwek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</w:t>
    </w:r>
    <w:r w:rsidR="00F17B89" w:rsidRPr="0071430C">
      <w:rPr>
        <w:bCs/>
        <w:iCs/>
        <w:sz w:val="20"/>
        <w:szCs w:val="20"/>
      </w:rPr>
      <w:t xml:space="preserve">, </w:t>
    </w:r>
    <w:r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 w:rsidRPr="0071430C">
      <w:rPr>
        <w:bCs/>
        <w:iCs/>
        <w:sz w:val="20"/>
        <w:szCs w:val="20"/>
      </w:rPr>
      <w:t>27</w:t>
    </w:r>
    <w:r w:rsidR="0071430C" w:rsidRPr="0071430C">
      <w:rPr>
        <w:bCs/>
        <w:iCs/>
        <w:sz w:val="20"/>
        <w:szCs w:val="20"/>
      </w:rPr>
      <w:t>-28</w:t>
    </w:r>
    <w:r w:rsidR="00F17B89" w:rsidRPr="0071430C">
      <w:rPr>
        <w:bCs/>
        <w:iCs/>
        <w:sz w:val="20"/>
        <w:szCs w:val="20"/>
      </w:rPr>
      <w:t xml:space="preserve"> </w:t>
    </w:r>
    <w:r w:rsidR="0071430C" w:rsidRPr="0071430C">
      <w:rPr>
        <w:bCs/>
        <w:iCs/>
        <w:sz w:val="20"/>
        <w:szCs w:val="20"/>
      </w:rPr>
      <w:t>May</w:t>
    </w:r>
    <w:r w:rsidR="00F17B89" w:rsidRPr="0071430C">
      <w:rPr>
        <w:bCs/>
        <w:iCs/>
        <w:sz w:val="20"/>
        <w:szCs w:val="20"/>
      </w:rPr>
      <w:t xml:space="preserve"> 20</w:t>
    </w:r>
    <w:r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1796997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496"/>
    <w:rsid w:val="00020874"/>
    <w:rsid w:val="000235EE"/>
    <w:rsid w:val="00045DD5"/>
    <w:rsid w:val="00065384"/>
    <w:rsid w:val="000A0A4A"/>
    <w:rsid w:val="000A5430"/>
    <w:rsid w:val="000B4A97"/>
    <w:rsid w:val="000E349C"/>
    <w:rsid w:val="000E3EF9"/>
    <w:rsid w:val="000E4A10"/>
    <w:rsid w:val="00134FD1"/>
    <w:rsid w:val="00173D20"/>
    <w:rsid w:val="001B10FA"/>
    <w:rsid w:val="002642C9"/>
    <w:rsid w:val="00267723"/>
    <w:rsid w:val="00285BED"/>
    <w:rsid w:val="00304ADE"/>
    <w:rsid w:val="00350636"/>
    <w:rsid w:val="00371E05"/>
    <w:rsid w:val="003B58CC"/>
    <w:rsid w:val="003C5DDD"/>
    <w:rsid w:val="003D54AD"/>
    <w:rsid w:val="003F2352"/>
    <w:rsid w:val="00463F1B"/>
    <w:rsid w:val="00470C84"/>
    <w:rsid w:val="004D76A4"/>
    <w:rsid w:val="00502709"/>
    <w:rsid w:val="00506399"/>
    <w:rsid w:val="0052795E"/>
    <w:rsid w:val="00547D3C"/>
    <w:rsid w:val="00574A27"/>
    <w:rsid w:val="005F7774"/>
    <w:rsid w:val="00603382"/>
    <w:rsid w:val="006062BF"/>
    <w:rsid w:val="00611342"/>
    <w:rsid w:val="006237A4"/>
    <w:rsid w:val="00631A80"/>
    <w:rsid w:val="00632040"/>
    <w:rsid w:val="00640719"/>
    <w:rsid w:val="00643A16"/>
    <w:rsid w:val="006922BB"/>
    <w:rsid w:val="006A2C85"/>
    <w:rsid w:val="006B551E"/>
    <w:rsid w:val="006B7AC0"/>
    <w:rsid w:val="00712C4A"/>
    <w:rsid w:val="0071430C"/>
    <w:rsid w:val="00734F85"/>
    <w:rsid w:val="00735031"/>
    <w:rsid w:val="00751562"/>
    <w:rsid w:val="0075384D"/>
    <w:rsid w:val="00765C6E"/>
    <w:rsid w:val="007A227F"/>
    <w:rsid w:val="007E194A"/>
    <w:rsid w:val="007E762B"/>
    <w:rsid w:val="00830714"/>
    <w:rsid w:val="00866AD5"/>
    <w:rsid w:val="008846B7"/>
    <w:rsid w:val="008B2171"/>
    <w:rsid w:val="008F6003"/>
    <w:rsid w:val="00905B3A"/>
    <w:rsid w:val="00914B9B"/>
    <w:rsid w:val="0091516C"/>
    <w:rsid w:val="00960E9A"/>
    <w:rsid w:val="009A457F"/>
    <w:rsid w:val="009D1F90"/>
    <w:rsid w:val="009D7944"/>
    <w:rsid w:val="00A17D63"/>
    <w:rsid w:val="00A46E8D"/>
    <w:rsid w:val="00A8768D"/>
    <w:rsid w:val="00A92957"/>
    <w:rsid w:val="00AC0A4A"/>
    <w:rsid w:val="00AE280C"/>
    <w:rsid w:val="00B01496"/>
    <w:rsid w:val="00B57FD3"/>
    <w:rsid w:val="00B672C5"/>
    <w:rsid w:val="00C141DE"/>
    <w:rsid w:val="00C20F91"/>
    <w:rsid w:val="00C92352"/>
    <w:rsid w:val="00C931D8"/>
    <w:rsid w:val="00CA258B"/>
    <w:rsid w:val="00CC5F0B"/>
    <w:rsid w:val="00D52212"/>
    <w:rsid w:val="00D77527"/>
    <w:rsid w:val="00D838E3"/>
    <w:rsid w:val="00D85DAA"/>
    <w:rsid w:val="00DA008B"/>
    <w:rsid w:val="00DF2BEA"/>
    <w:rsid w:val="00E47876"/>
    <w:rsid w:val="00E831B9"/>
    <w:rsid w:val="00E83389"/>
    <w:rsid w:val="00E86178"/>
    <w:rsid w:val="00E93DD2"/>
    <w:rsid w:val="00F00CCE"/>
    <w:rsid w:val="00F14F3F"/>
    <w:rsid w:val="00F17B89"/>
    <w:rsid w:val="00F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208E0CA"/>
  <w15:docId w15:val="{8F7367D1-1CF0-4037-B61E-DE7381EA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adpis"/>
    <w:next w:val="Tekstpodstawowy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strony">
    <w:name w:val="page number"/>
    <w:basedOn w:val="Fuentedeprrafopredeter"/>
  </w:style>
  <w:style w:type="character" w:styleId="Hipercz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dpis">
    <w:name w:val="Nadpis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ny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ny"/>
    <w:pPr>
      <w:suppressLineNumbers/>
    </w:pPr>
  </w:style>
  <w:style w:type="paragraph" w:customStyle="1" w:styleId="AbstractTitle">
    <w:name w:val="Abstract Title"/>
    <w:basedOn w:val="Normalny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ny"/>
    <w:pPr>
      <w:spacing w:before="240"/>
      <w:jc w:val="center"/>
    </w:pPr>
    <w:rPr>
      <w:b/>
    </w:rPr>
  </w:style>
  <w:style w:type="paragraph" w:customStyle="1" w:styleId="Affiliation">
    <w:name w:val="Affiliation"/>
    <w:basedOn w:val="Normalny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ny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ny"/>
    <w:pPr>
      <w:spacing w:before="227"/>
    </w:pPr>
    <w:rPr>
      <w:i/>
      <w:sz w:val="22"/>
    </w:rPr>
  </w:style>
  <w:style w:type="paragraph" w:customStyle="1" w:styleId="Abstract">
    <w:name w:val="Abstract"/>
    <w:basedOn w:val="Normalny"/>
    <w:pPr>
      <w:spacing w:before="283"/>
      <w:jc w:val="both"/>
    </w:pPr>
    <w:rPr>
      <w:i/>
      <w:sz w:val="22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ny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Nagwek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Nagwek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ny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ny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ny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ny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ny"/>
    <w:next w:val="Normalny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Listaconvietas">
    <w:name w:val="Lista con viñetas"/>
    <w:basedOn w:val="Normalny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ny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ny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ny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ny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ny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Tekstpodstawowy"/>
  </w:style>
  <w:style w:type="paragraph" w:customStyle="1" w:styleId="Textbubliny">
    <w:name w:val="Text bubliny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34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F85"/>
    <w:rPr>
      <w:rFonts w:eastAsia="SimSu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F85"/>
    <w:rPr>
      <w:rFonts w:eastAsia="SimSun"/>
      <w:b/>
      <w:bCs/>
      <w:lang w:eastAsia="zh-CN"/>
    </w:rPr>
  </w:style>
  <w:style w:type="character" w:styleId="Uwydatnienie">
    <w:name w:val="Emphasis"/>
    <w:basedOn w:val="Domylnaczcionkaakapitu"/>
    <w:uiPriority w:val="20"/>
    <w:qFormat/>
    <w:rsid w:val="00A92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6BF3A-A453-4AC5-A1F0-EAD7D61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SAHC2014</vt:lpstr>
      <vt:lpstr>SAHC2014</vt:lpstr>
      <vt:lpstr>SAHC2014</vt:lpstr>
    </vt:vector>
  </TitlesOfParts>
  <Company>Oregon State University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creator>user;Sahc2014</dc:creator>
  <cp:keywords>Paper Proceedings</cp:keywords>
  <cp:lastModifiedBy>jakub sandak</cp:lastModifiedBy>
  <cp:revision>2</cp:revision>
  <cp:lastPrinted>2014-01-17T10:40:00Z</cp:lastPrinted>
  <dcterms:created xsi:type="dcterms:W3CDTF">2020-03-15T12:53:00Z</dcterms:created>
  <dcterms:modified xsi:type="dcterms:W3CDTF">2020-03-15T12:53:00Z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