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5DA099" w14:textId="330DC082" w:rsidR="003D21C9" w:rsidRDefault="003D21C9" w:rsidP="003D21C9">
      <w:pPr>
        <w:jc w:val="center"/>
        <w:rPr>
          <w:b/>
          <w:bCs/>
          <w:sz w:val="28"/>
          <w:szCs w:val="28"/>
        </w:rPr>
      </w:pPr>
    </w:p>
    <w:p w14:paraId="319F0D46" w14:textId="3DCD0C4C" w:rsidR="003D21C9" w:rsidRDefault="003D21C9" w:rsidP="003D21C9">
      <w:pPr>
        <w:jc w:val="center"/>
        <w:rPr>
          <w:b/>
          <w:bCs/>
          <w:sz w:val="28"/>
          <w:szCs w:val="28"/>
        </w:rPr>
      </w:pPr>
    </w:p>
    <w:p w14:paraId="7E5D9F97" w14:textId="77777777" w:rsidR="003D21C9" w:rsidRDefault="003D21C9" w:rsidP="003D21C9">
      <w:pPr>
        <w:jc w:val="center"/>
        <w:rPr>
          <w:b/>
          <w:bCs/>
          <w:sz w:val="28"/>
          <w:szCs w:val="28"/>
        </w:rPr>
      </w:pPr>
    </w:p>
    <w:p w14:paraId="4CC50DA3" w14:textId="78253340" w:rsidR="003D21C9" w:rsidRDefault="003D21C9" w:rsidP="003D21C9">
      <w:pPr>
        <w:jc w:val="center"/>
        <w:rPr>
          <w:b/>
          <w:bCs/>
          <w:sz w:val="28"/>
          <w:szCs w:val="28"/>
        </w:rPr>
      </w:pPr>
      <w:r w:rsidRPr="006E39A3">
        <w:rPr>
          <w:b/>
          <w:bCs/>
          <w:sz w:val="28"/>
          <w:szCs w:val="28"/>
        </w:rPr>
        <w:t>Validation and accreditation of automatic method in NIR Near Infrared Spectroscopy on butter matrix</w:t>
      </w:r>
    </w:p>
    <w:p w14:paraId="462C1576" w14:textId="77777777" w:rsidR="003D21C9" w:rsidRPr="006E39A3" w:rsidRDefault="003D21C9" w:rsidP="003D21C9">
      <w:pPr>
        <w:jc w:val="center"/>
        <w:rPr>
          <w:b/>
          <w:bCs/>
          <w:sz w:val="28"/>
          <w:szCs w:val="28"/>
        </w:rPr>
      </w:pP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0850D470" w14:textId="2C67CF8C" w:rsidR="003D21C9" w:rsidRPr="003D21C9" w:rsidRDefault="003D21C9" w:rsidP="003D21C9">
      <w:pPr>
        <w:jc w:val="center"/>
        <w:rPr>
          <w:b/>
          <w:bCs/>
          <w:vertAlign w:val="superscript"/>
          <w:lang w:val="it-IT"/>
        </w:rPr>
      </w:pPr>
      <w:r w:rsidRPr="003D21C9">
        <w:rPr>
          <w:b/>
          <w:bCs/>
          <w:lang w:val="it-IT"/>
        </w:rPr>
        <w:t>G. Marello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lang w:val="it-IT"/>
        </w:rPr>
        <w:t>, E. Bejko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lang w:val="it-IT"/>
        </w:rPr>
        <w:t>, D.M. Bianchi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color w:val="000000"/>
          <w:shd w:val="clear" w:color="auto" w:fill="FFFFFF"/>
          <w:lang w:val="it-IT"/>
        </w:rPr>
        <w:t xml:space="preserve">, </w:t>
      </w:r>
      <w:r w:rsidRPr="003D21C9">
        <w:rPr>
          <w:b/>
          <w:bCs/>
          <w:color w:val="000000"/>
          <w:shd w:val="clear" w:color="auto" w:fill="FFFFFF"/>
          <w:lang w:val="it-IT"/>
        </w:rPr>
        <w:t>S. Lupi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color w:val="000000"/>
          <w:shd w:val="clear" w:color="auto" w:fill="FFFFFF"/>
          <w:lang w:val="it-IT"/>
        </w:rPr>
        <w:t>, E. Barcucci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color w:val="000000"/>
          <w:shd w:val="clear" w:color="auto" w:fill="FFFFFF"/>
          <w:lang w:val="it-IT"/>
        </w:rPr>
        <w:t>, S.</w:t>
      </w:r>
      <w:r>
        <w:rPr>
          <w:b/>
          <w:bCs/>
          <w:color w:val="000000"/>
          <w:shd w:val="clear" w:color="auto" w:fill="FFFFFF"/>
          <w:lang w:val="it-IT"/>
        </w:rPr>
        <w:t xml:space="preserve"> </w:t>
      </w:r>
      <w:r w:rsidRPr="003D21C9">
        <w:rPr>
          <w:b/>
          <w:bCs/>
          <w:color w:val="000000"/>
          <w:shd w:val="clear" w:color="auto" w:fill="FFFFFF"/>
          <w:lang w:val="it-IT"/>
        </w:rPr>
        <w:t>Fragassi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color w:val="000000"/>
          <w:shd w:val="clear" w:color="auto" w:fill="FFFFFF"/>
          <w:lang w:val="it-IT"/>
        </w:rPr>
        <w:t xml:space="preserve">, M. </w:t>
      </w:r>
      <w:proofErr w:type="spellStart"/>
      <w:proofErr w:type="gramStart"/>
      <w:r w:rsidRPr="003D21C9">
        <w:rPr>
          <w:b/>
          <w:bCs/>
          <w:color w:val="000000"/>
          <w:shd w:val="clear" w:color="auto" w:fill="FFFFFF"/>
          <w:lang w:val="it-IT"/>
        </w:rPr>
        <w:t>Gili</w:t>
      </w:r>
      <w:proofErr w:type="spellEnd"/>
      <w:r w:rsidRPr="003D21C9">
        <w:rPr>
          <w:b/>
          <w:bCs/>
          <w:color w:val="000000"/>
          <w:shd w:val="clear" w:color="auto" w:fill="FFFFFF"/>
          <w:lang w:val="it-IT"/>
        </w:rPr>
        <w:t xml:space="preserve">, </w:t>
      </w:r>
      <w:r w:rsidR="00F9778F">
        <w:rPr>
          <w:b/>
          <w:bCs/>
          <w:color w:val="000000"/>
          <w:shd w:val="clear" w:color="auto" w:fill="FFFFFF"/>
          <w:lang w:val="it-IT"/>
        </w:rPr>
        <w:t xml:space="preserve">  </w:t>
      </w:r>
      <w:proofErr w:type="gramEnd"/>
      <w:r w:rsidR="00F9778F">
        <w:rPr>
          <w:b/>
          <w:bCs/>
          <w:color w:val="000000"/>
          <w:shd w:val="clear" w:color="auto" w:fill="FFFFFF"/>
          <w:lang w:val="it-IT"/>
        </w:rPr>
        <w:t xml:space="preserve">     </w:t>
      </w:r>
      <w:r w:rsidRPr="003D21C9">
        <w:rPr>
          <w:b/>
          <w:bCs/>
          <w:color w:val="000000"/>
          <w:shd w:val="clear" w:color="auto" w:fill="FFFFFF"/>
          <w:lang w:val="it-IT"/>
        </w:rPr>
        <w:t>L. Decastelli</w:t>
      </w:r>
      <w:r w:rsidRPr="003D21C9">
        <w:rPr>
          <w:b/>
          <w:bCs/>
          <w:vertAlign w:val="superscript"/>
          <w:lang w:val="it-IT"/>
        </w:rPr>
        <w:t>1</w:t>
      </w:r>
    </w:p>
    <w:p w14:paraId="6DFCE5BC" w14:textId="4175F53F" w:rsidR="00B57FD3" w:rsidRPr="00F9778F" w:rsidRDefault="00B57FD3" w:rsidP="003D21C9">
      <w:pPr>
        <w:pStyle w:val="Author"/>
        <w:spacing w:before="0"/>
        <w:jc w:val="left"/>
        <w:rPr>
          <w:b w:val="0"/>
          <w:vertAlign w:val="superscript"/>
          <w:lang w:val="it-IT"/>
        </w:rPr>
      </w:pPr>
    </w:p>
    <w:p w14:paraId="0CF69F7D" w14:textId="6BB0C93E" w:rsidR="003D21C9" w:rsidRPr="003D21C9" w:rsidRDefault="003D21C9" w:rsidP="003D21C9">
      <w:pPr>
        <w:spacing w:after="160" w:line="259" w:lineRule="auto"/>
        <w:jc w:val="center"/>
        <w:rPr>
          <w:rFonts w:eastAsia="Calibri"/>
          <w:sz w:val="22"/>
          <w:szCs w:val="22"/>
          <w:lang w:val="it-IT" w:eastAsia="en-US"/>
        </w:rPr>
      </w:pPr>
      <w:bookmarkStart w:id="0" w:name="_Hlk98932317"/>
      <w:r w:rsidRPr="003D21C9">
        <w:rPr>
          <w:vertAlign w:val="superscript"/>
          <w:lang w:val="it-IT"/>
        </w:rPr>
        <w:t>1</w:t>
      </w:r>
      <w:r w:rsidRPr="003D21C9">
        <w:rPr>
          <w:rFonts w:eastAsia="Calibri"/>
          <w:sz w:val="22"/>
          <w:szCs w:val="22"/>
          <w:lang w:val="it-IT" w:eastAsia="en-US"/>
        </w:rPr>
        <w:t>Istituto Zooprofilattico Sperimentale del Piemonte, Liguria e Valle d'Aosta, Via Bologna 148, 10154 Torino, izsto@legalmail.it</w:t>
      </w:r>
    </w:p>
    <w:bookmarkEnd w:id="0"/>
    <w:p w14:paraId="399D0A53" w14:textId="77777777" w:rsidR="003D21C9" w:rsidRPr="004E4B13" w:rsidRDefault="003D21C9" w:rsidP="00470C84">
      <w:pPr>
        <w:pStyle w:val="AbstractBodyText"/>
        <w:rPr>
          <w:lang w:val="it-IT"/>
        </w:rPr>
      </w:pPr>
    </w:p>
    <w:p w14:paraId="7B3CEB53" w14:textId="77777777" w:rsidR="003D21C9" w:rsidRPr="006E39A3" w:rsidRDefault="003D21C9" w:rsidP="009F7302">
      <w:pPr>
        <w:spacing w:after="120"/>
        <w:jc w:val="both"/>
      </w:pPr>
      <w:r>
        <w:t xml:space="preserve">Under </w:t>
      </w:r>
      <w:r w:rsidRPr="006E39A3">
        <w:t>Reg</w:t>
      </w:r>
      <w:r>
        <w:t xml:space="preserve">ulation </w:t>
      </w:r>
      <w:r w:rsidRPr="003530AC">
        <w:t>EU No. 1169/2011</w:t>
      </w:r>
      <w:r>
        <w:t xml:space="preserve"> on the provision of food information to consumers, t</w:t>
      </w:r>
      <w:r w:rsidRPr="006E39A3">
        <w:t xml:space="preserve">he mandatory nutrition declaration </w:t>
      </w:r>
      <w:r>
        <w:t>gives the</w:t>
      </w:r>
      <w:r w:rsidRPr="006E39A3">
        <w:t xml:space="preserve"> energy value and the amount of fats, saturated fatty acids, carbohydrates, sugars, proteins</w:t>
      </w:r>
      <w:r>
        <w:t>,</w:t>
      </w:r>
      <w:r w:rsidRPr="006E39A3">
        <w:t xml:space="preserve"> and salt </w:t>
      </w:r>
      <w:r>
        <w:t xml:space="preserve">in prepackaged food </w:t>
      </w:r>
      <w:r w:rsidRPr="006E39A3">
        <w:t>(Article 30).</w:t>
      </w:r>
    </w:p>
    <w:p w14:paraId="6B1CB74D" w14:textId="31CC743F" w:rsidR="003D21C9" w:rsidRPr="006E39A3" w:rsidRDefault="003D21C9" w:rsidP="009F7302">
      <w:pPr>
        <w:spacing w:after="120"/>
        <w:jc w:val="both"/>
      </w:pPr>
      <w:r>
        <w:t>Here we</w:t>
      </w:r>
      <w:r w:rsidRPr="006E39A3">
        <w:t xml:space="preserve"> describe the validation process of near infrared reflectance </w:t>
      </w:r>
      <w:bookmarkStart w:id="1" w:name="_Hlk98840069"/>
      <w:r>
        <w:t>(</w:t>
      </w:r>
      <w:r w:rsidRPr="006E39A3">
        <w:t>NIR</w:t>
      </w:r>
      <w:r>
        <w:t>)</w:t>
      </w:r>
      <w:r w:rsidRPr="006E39A3">
        <w:t xml:space="preserve"> </w:t>
      </w:r>
      <w:bookmarkEnd w:id="1"/>
      <w:r>
        <w:t>s</w:t>
      </w:r>
      <w:r w:rsidRPr="006E39A3">
        <w:t>pectroscopy for determin</w:t>
      </w:r>
      <w:r>
        <w:t>ing</w:t>
      </w:r>
      <w:r w:rsidRPr="006E39A3">
        <w:t xml:space="preserve"> nutritional parameters </w:t>
      </w:r>
      <w:r>
        <w:t>i</w:t>
      </w:r>
      <w:r w:rsidRPr="006E39A3">
        <w:t xml:space="preserve">n </w:t>
      </w:r>
      <w:r>
        <w:t xml:space="preserve">a </w:t>
      </w:r>
      <w:r w:rsidRPr="006E39A3">
        <w:t>butter matrix</w:t>
      </w:r>
      <w:r>
        <w:t xml:space="preserve">. All 145 </w:t>
      </w:r>
      <w:r w:rsidRPr="006E39A3">
        <w:t xml:space="preserve">samples were analyzed in duplicate using the NIR method </w:t>
      </w:r>
      <w:r w:rsidR="004E4B13">
        <w:t xml:space="preserve">on an </w:t>
      </w:r>
      <w:proofErr w:type="spellStart"/>
      <w:r w:rsidR="004E4B13" w:rsidRPr="006E39A3">
        <w:t>NIRFlex</w:t>
      </w:r>
      <w:proofErr w:type="spellEnd"/>
      <w:r w:rsidR="004E4B13" w:rsidRPr="006E39A3">
        <w:t xml:space="preserve"> 500 spectrometer </w:t>
      </w:r>
      <w:r w:rsidRPr="006E39A3">
        <w:t xml:space="preserve">and accredited instrumental analytical techniques. </w:t>
      </w:r>
      <w:r>
        <w:t>S</w:t>
      </w:r>
      <w:r w:rsidRPr="006E39A3">
        <w:t>ample</w:t>
      </w:r>
      <w:r>
        <w:t>s</w:t>
      </w:r>
      <w:r w:rsidRPr="006E39A3">
        <w:t xml:space="preserve"> </w:t>
      </w:r>
      <w:r>
        <w:t>were</w:t>
      </w:r>
      <w:r w:rsidRPr="006E39A3">
        <w:t xml:space="preserve"> measured in a Petri dish, </w:t>
      </w:r>
      <w:r>
        <w:t>in which</w:t>
      </w:r>
      <w:r w:rsidRPr="006E39A3">
        <w:t xml:space="preserve"> the entire surface</w:t>
      </w:r>
      <w:r w:rsidRPr="00BC7D83">
        <w:t xml:space="preserve"> </w:t>
      </w:r>
      <w:r>
        <w:t xml:space="preserve">was </w:t>
      </w:r>
      <w:r w:rsidRPr="006E39A3">
        <w:t>cover</w:t>
      </w:r>
      <w:r>
        <w:t>ed</w:t>
      </w:r>
      <w:r w:rsidRPr="006E39A3">
        <w:t xml:space="preserve">. </w:t>
      </w:r>
      <w:r>
        <w:t xml:space="preserve">A </w:t>
      </w:r>
      <w:r w:rsidRPr="006E39A3">
        <w:t>quantitative</w:t>
      </w:r>
      <w:r>
        <w:t>-</w:t>
      </w:r>
      <w:r w:rsidRPr="006E39A3">
        <w:t xml:space="preserve">predictive model was created </w:t>
      </w:r>
      <w:r>
        <w:t>b</w:t>
      </w:r>
      <w:r w:rsidRPr="006E39A3">
        <w:t>y comparing the results of the reference analytical method with those obtained with NIR</w:t>
      </w:r>
      <w:r>
        <w:t xml:space="preserve"> spectroscopy</w:t>
      </w:r>
      <w:r w:rsidRPr="006E39A3">
        <w:t xml:space="preserve">. </w:t>
      </w:r>
      <w:r>
        <w:t>The c</w:t>
      </w:r>
      <w:r w:rsidRPr="006E39A3">
        <w:t>arbohydrate and energy value</w:t>
      </w:r>
      <w:r>
        <w:t>s</w:t>
      </w:r>
      <w:r w:rsidRPr="006E39A3">
        <w:t xml:space="preserve"> </w:t>
      </w:r>
      <w:r>
        <w:t>were</w:t>
      </w:r>
      <w:r w:rsidRPr="006E39A3">
        <w:t xml:space="preserve"> calculat</w:t>
      </w:r>
      <w:r>
        <w:t>ed</w:t>
      </w:r>
      <w:r w:rsidRPr="006E39A3">
        <w:t>.</w:t>
      </w:r>
    </w:p>
    <w:p w14:paraId="47B0F165" w14:textId="21C2E550" w:rsidR="003D21C9" w:rsidRDefault="003D21C9" w:rsidP="009F7302">
      <w:pPr>
        <w:spacing w:after="120"/>
        <w:jc w:val="both"/>
      </w:pPr>
      <w:r>
        <w:t>C</w:t>
      </w:r>
      <w:r w:rsidRPr="006E39A3">
        <w:t xml:space="preserve">alibration </w:t>
      </w:r>
      <w:r>
        <w:t xml:space="preserve">was performed using </w:t>
      </w:r>
      <w:r w:rsidRPr="006E39A3">
        <w:t xml:space="preserve">85 samples </w:t>
      </w:r>
      <w:r>
        <w:t>o</w:t>
      </w:r>
      <w:r w:rsidRPr="006E39A3">
        <w:t>n average</w:t>
      </w:r>
      <w:r>
        <w:t>.</w:t>
      </w:r>
      <w:r w:rsidRPr="006E39A3">
        <w:t xml:space="preserve"> </w:t>
      </w:r>
      <w:r>
        <w:t>The</w:t>
      </w:r>
      <w:r w:rsidRPr="006E39A3">
        <w:t xml:space="preserve"> R</w:t>
      </w:r>
      <w:r w:rsidRPr="006E39A3">
        <w:rPr>
          <w:vertAlign w:val="superscript"/>
        </w:rPr>
        <w:t>2</w:t>
      </w:r>
      <w:r w:rsidRPr="006E39A3">
        <w:t xml:space="preserve"> (regression coefficient) </w:t>
      </w:r>
      <w:r>
        <w:t>ranged</w:t>
      </w:r>
      <w:r w:rsidRPr="006E39A3">
        <w:t xml:space="preserve"> </w:t>
      </w:r>
      <w:r>
        <w:t>between</w:t>
      </w:r>
      <w:r w:rsidRPr="006E39A3">
        <w:t xml:space="preserve"> 0.72 (protein) </w:t>
      </w:r>
      <w:r>
        <w:t>and</w:t>
      </w:r>
      <w:r w:rsidRPr="006E39A3">
        <w:t xml:space="preserve"> 0.92 (moisture) and error (SEC) </w:t>
      </w:r>
      <w:r>
        <w:t>between</w:t>
      </w:r>
      <w:r w:rsidRPr="006E39A3">
        <w:t xml:space="preserve"> 0.030 (salt) </w:t>
      </w:r>
      <w:r>
        <w:t>and</w:t>
      </w:r>
      <w:r w:rsidRPr="006E39A3">
        <w:t xml:space="preserve"> 1.22 (saturated fatty acids)</w:t>
      </w:r>
      <w:r w:rsidR="009F7302">
        <w:t>.</w:t>
      </w:r>
      <w:r w:rsidRPr="006E39A3">
        <w:t xml:space="preserve"> 25 samples </w:t>
      </w:r>
      <w:r>
        <w:t>were used o</w:t>
      </w:r>
      <w:r w:rsidRPr="006E39A3">
        <w:t xml:space="preserve">n average </w:t>
      </w:r>
      <w:r>
        <w:t>for</w:t>
      </w:r>
      <w:r w:rsidRPr="006E39A3">
        <w:t xml:space="preserve"> </w:t>
      </w:r>
      <w:r>
        <w:t xml:space="preserve">method </w:t>
      </w:r>
      <w:r w:rsidRPr="006E39A3">
        <w:t>validation</w:t>
      </w:r>
      <w:r>
        <w:t>. The</w:t>
      </w:r>
      <w:r w:rsidRPr="006E39A3">
        <w:t xml:space="preserve"> R</w:t>
      </w:r>
      <w:r w:rsidRPr="006E39A3">
        <w:rPr>
          <w:vertAlign w:val="superscript"/>
        </w:rPr>
        <w:t>2</w:t>
      </w:r>
      <w:r w:rsidRPr="006E39A3">
        <w:t xml:space="preserve"> </w:t>
      </w:r>
      <w:r>
        <w:t>ranged</w:t>
      </w:r>
      <w:r w:rsidRPr="006E39A3">
        <w:t xml:space="preserve"> </w:t>
      </w:r>
      <w:r>
        <w:t>between</w:t>
      </w:r>
      <w:r w:rsidRPr="006E39A3">
        <w:t xml:space="preserve"> 0.59 (salt) </w:t>
      </w:r>
      <w:r>
        <w:t>and</w:t>
      </w:r>
      <w:r w:rsidRPr="006E39A3">
        <w:t xml:space="preserve"> 0</w:t>
      </w:r>
      <w:r>
        <w:t>.</w:t>
      </w:r>
      <w:r w:rsidRPr="006E39A3">
        <w:t xml:space="preserve">91 (fat) and error (SEP) </w:t>
      </w:r>
      <w:r>
        <w:t>between</w:t>
      </w:r>
      <w:r w:rsidRPr="006E39A3">
        <w:t xml:space="preserve"> 0.037 (salt) </w:t>
      </w:r>
      <w:r>
        <w:t>and</w:t>
      </w:r>
      <w:r w:rsidRPr="006E39A3">
        <w:t xml:space="preserve"> 1.29 (saturated fatty acids).</w:t>
      </w:r>
      <w:bookmarkStart w:id="2" w:name="_GoBack"/>
      <w:bookmarkEnd w:id="2"/>
    </w:p>
    <w:p w14:paraId="6A29833C" w14:textId="77777777" w:rsidR="003D21C9" w:rsidRPr="006E39A3" w:rsidRDefault="003D21C9" w:rsidP="003D21C9">
      <w:pPr>
        <w:jc w:val="both"/>
      </w:pPr>
      <w:r w:rsidRPr="006E39A3">
        <w:t>Th</w:t>
      </w:r>
      <w:r>
        <w:t>is</w:t>
      </w:r>
      <w:r w:rsidRPr="006E39A3">
        <w:t xml:space="preserve"> effective and quick method </w:t>
      </w:r>
      <w:r>
        <w:t xml:space="preserve">has been </w:t>
      </w:r>
      <w:r w:rsidRPr="006E39A3">
        <w:t>positively validated</w:t>
      </w:r>
      <w:r>
        <w:t xml:space="preserve"> and our</w:t>
      </w:r>
      <w:r w:rsidRPr="006E39A3">
        <w:t xml:space="preserve"> laboratory has obtained accreditation from </w:t>
      </w:r>
      <w:proofErr w:type="spellStart"/>
      <w:r w:rsidRPr="006E39A3">
        <w:t>Accredia</w:t>
      </w:r>
      <w:proofErr w:type="spellEnd"/>
      <w:r w:rsidRPr="006E39A3">
        <w:t xml:space="preserve">. </w:t>
      </w:r>
      <w:r>
        <w:t>Prepackaged food product labels carrying a</w:t>
      </w:r>
      <w:r w:rsidRPr="006E39A3">
        <w:t xml:space="preserve"> correct nutritional declaration </w:t>
      </w:r>
      <w:r>
        <w:t>ensures that</w:t>
      </w:r>
      <w:r w:rsidRPr="006E39A3">
        <w:t xml:space="preserve"> consumer</w:t>
      </w:r>
      <w:r>
        <w:t>s</w:t>
      </w:r>
      <w:r w:rsidRPr="006E39A3">
        <w:t xml:space="preserve"> </w:t>
      </w:r>
      <w:r>
        <w:t>can</w:t>
      </w:r>
      <w:r w:rsidRPr="006E39A3">
        <w:t xml:space="preserve"> make informed choices about </w:t>
      </w:r>
      <w:r>
        <w:t>their</w:t>
      </w:r>
      <w:r w:rsidRPr="006E39A3">
        <w:t xml:space="preserve"> </w:t>
      </w:r>
      <w:r>
        <w:t>food purchases</w:t>
      </w:r>
      <w:r w:rsidRPr="006E39A3">
        <w:t>.</w:t>
      </w:r>
    </w:p>
    <w:p w14:paraId="516A7EB5" w14:textId="38A8B72F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3D21C9">
        <w:rPr>
          <w:lang w:val="en-GB"/>
        </w:rPr>
        <w:t>NIR</w:t>
      </w:r>
      <w:r w:rsidR="003D21C9" w:rsidRPr="006E39A3">
        <w:rPr>
          <w:rFonts w:eastAsiaTheme="minorHAnsi"/>
          <w:lang w:eastAsia="en-US"/>
        </w:rPr>
        <w:t xml:space="preserve"> </w:t>
      </w:r>
      <w:r w:rsidR="003D21C9" w:rsidRPr="006E39A3">
        <w:t>Spectroscopy</w:t>
      </w:r>
      <w:r w:rsidR="003D21C9">
        <w:rPr>
          <w:lang w:val="en-GB"/>
        </w:rPr>
        <w:t>, butter, nutritional parameters, validation</w:t>
      </w:r>
      <w:r w:rsidR="003D21C9" w:rsidRPr="00CA258B">
        <w:rPr>
          <w:lang w:val="en-GB"/>
        </w:rPr>
        <w:t xml:space="preserve"> </w:t>
      </w:r>
    </w:p>
    <w:p w14:paraId="7769E30F" w14:textId="1EBCE5FD" w:rsidR="00B57FD3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772F83F4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3D21C9">
        <w:rPr>
          <w:rFonts w:eastAsia="Times New Roman"/>
          <w:sz w:val="22"/>
          <w:szCs w:val="22"/>
          <w:lang w:eastAsia="it-IT"/>
        </w:rPr>
        <w:t>BUCHI NIR-FLEX 500 User Manual</w:t>
      </w:r>
    </w:p>
    <w:p w14:paraId="74E62AD6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val="pt-BR" w:eastAsia="it-IT"/>
        </w:rPr>
      </w:pPr>
      <w:r w:rsidRPr="003D21C9">
        <w:rPr>
          <w:rFonts w:eastAsia="Times New Roman"/>
          <w:sz w:val="22"/>
          <w:szCs w:val="22"/>
          <w:lang w:val="pt-BR" w:eastAsia="it-IT"/>
        </w:rPr>
        <w:t>EU Reg. No. 1169/2011 and subsequent amendments</w:t>
      </w:r>
    </w:p>
    <w:p w14:paraId="3D06560B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3D21C9">
        <w:rPr>
          <w:rFonts w:eastAsia="Times New Roman"/>
          <w:sz w:val="22"/>
          <w:szCs w:val="22"/>
          <w:lang w:eastAsia="it-IT"/>
        </w:rPr>
        <w:t>Guideline of the Ministry of Health on analytical tolerances applicable in the official control phase, June 16, 2016.</w:t>
      </w:r>
    </w:p>
    <w:p w14:paraId="371FB90A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val="en-GB" w:eastAsia="it-IT"/>
        </w:rPr>
      </w:pPr>
      <w:r w:rsidRPr="003D21C9">
        <w:rPr>
          <w:rFonts w:eastAsia="Times New Roman"/>
          <w:sz w:val="22"/>
          <w:szCs w:val="22"/>
          <w:lang w:val="en-GB" w:eastAsia="it-IT"/>
        </w:rPr>
        <w:t>ISO 21543:2020 Milk and milk products — Guidelines for the application of near infrared spectrometry</w:t>
      </w:r>
    </w:p>
    <w:p w14:paraId="2DB31C4B" w14:textId="183A4EB3" w:rsidR="00F17B89" w:rsidRPr="00CA258B" w:rsidRDefault="00F17B89" w:rsidP="003D21C9">
      <w:pPr>
        <w:pStyle w:val="Reference"/>
        <w:ind w:left="0" w:firstLine="0"/>
        <w:rPr>
          <w:lang w:val="en-GB"/>
        </w:rPr>
      </w:pPr>
    </w:p>
    <w:sectPr w:rsidR="00F17B89" w:rsidRPr="00CA258B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0F9D" w14:textId="77777777" w:rsidR="009A457F" w:rsidRDefault="009A457F">
      <w:r>
        <w:separator/>
      </w:r>
    </w:p>
  </w:endnote>
  <w:endnote w:type="continuationSeparator" w:id="0">
    <w:p w14:paraId="0DBE9E48" w14:textId="77777777" w:rsidR="009A457F" w:rsidRDefault="009A457F">
      <w:r>
        <w:continuationSeparator/>
      </w:r>
    </w:p>
  </w:endnote>
  <w:endnote w:type="continuationNotice" w:id="1">
    <w:p w14:paraId="57C4E16D" w14:textId="77777777" w:rsidR="009A457F" w:rsidRDefault="009A4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6667" w14:textId="77777777" w:rsidR="009A457F" w:rsidRDefault="009A457F">
      <w:r>
        <w:separator/>
      </w:r>
    </w:p>
  </w:footnote>
  <w:footnote w:type="continuationSeparator" w:id="0">
    <w:p w14:paraId="3470C08E" w14:textId="77777777" w:rsidR="009A457F" w:rsidRDefault="009A457F">
      <w:r>
        <w:continuationSeparator/>
      </w:r>
    </w:p>
  </w:footnote>
  <w:footnote w:type="continuationNotice" w:id="1">
    <w:p w14:paraId="32D7F6F3" w14:textId="77777777" w:rsidR="009A457F" w:rsidRDefault="009A4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5DD5"/>
    <w:rsid w:val="000E3EF9"/>
    <w:rsid w:val="001B10FA"/>
    <w:rsid w:val="002C120D"/>
    <w:rsid w:val="003D21C9"/>
    <w:rsid w:val="00444124"/>
    <w:rsid w:val="00463F1B"/>
    <w:rsid w:val="00470C84"/>
    <w:rsid w:val="0047723B"/>
    <w:rsid w:val="004D76A4"/>
    <w:rsid w:val="004E4B13"/>
    <w:rsid w:val="00574A27"/>
    <w:rsid w:val="00611342"/>
    <w:rsid w:val="00631A80"/>
    <w:rsid w:val="00640719"/>
    <w:rsid w:val="006922BB"/>
    <w:rsid w:val="006A2C85"/>
    <w:rsid w:val="0071430C"/>
    <w:rsid w:val="00734F85"/>
    <w:rsid w:val="00751562"/>
    <w:rsid w:val="008846B7"/>
    <w:rsid w:val="009A457F"/>
    <w:rsid w:val="009D7944"/>
    <w:rsid w:val="009F7302"/>
    <w:rsid w:val="00A46E8D"/>
    <w:rsid w:val="00AE280C"/>
    <w:rsid w:val="00B01496"/>
    <w:rsid w:val="00B57FD3"/>
    <w:rsid w:val="00B672C5"/>
    <w:rsid w:val="00C141DE"/>
    <w:rsid w:val="00C20F91"/>
    <w:rsid w:val="00CA258B"/>
    <w:rsid w:val="00D52212"/>
    <w:rsid w:val="00D77527"/>
    <w:rsid w:val="00DA008B"/>
    <w:rsid w:val="00E47876"/>
    <w:rsid w:val="00E93DD2"/>
    <w:rsid w:val="00F00CCE"/>
    <w:rsid w:val="00F14F3F"/>
    <w:rsid w:val="00F17B89"/>
    <w:rsid w:val="00F46A13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02F8D-7C95-4A1B-B932-C5CC504F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Barcucci Elisa</cp:lastModifiedBy>
  <cp:revision>5</cp:revision>
  <cp:lastPrinted>2014-01-17T10:40:00Z</cp:lastPrinted>
  <dcterms:created xsi:type="dcterms:W3CDTF">2022-04-04T07:09:00Z</dcterms:created>
  <dcterms:modified xsi:type="dcterms:W3CDTF">2022-04-04T13:37:00Z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