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7ABDB" w14:textId="77777777" w:rsidR="00E50139" w:rsidRDefault="00E50139" w:rsidP="00F142EC">
      <w:pPr>
        <w:widowControl w:val="0"/>
        <w:adjustRightInd w:val="0"/>
        <w:spacing w:line="360" w:lineRule="auto"/>
        <w:ind w:firstLine="720"/>
        <w:jc w:val="center"/>
        <w:rPr>
          <w:b/>
          <w:sz w:val="28"/>
          <w:szCs w:val="28"/>
          <w:lang w:val="en-GB"/>
        </w:rPr>
      </w:pPr>
    </w:p>
    <w:p w14:paraId="2936A032" w14:textId="7ABABB12" w:rsidR="00F142EC" w:rsidRPr="003C276F" w:rsidRDefault="00F142EC" w:rsidP="00F142EC">
      <w:pPr>
        <w:widowControl w:val="0"/>
        <w:adjustRightInd w:val="0"/>
        <w:spacing w:line="360" w:lineRule="auto"/>
        <w:ind w:firstLine="720"/>
        <w:jc w:val="center"/>
        <w:rPr>
          <w:b/>
          <w:sz w:val="28"/>
          <w:szCs w:val="28"/>
          <w:lang w:val="en-GB"/>
        </w:rPr>
      </w:pPr>
      <w:r w:rsidRPr="00C10E21">
        <w:rPr>
          <w:b/>
          <w:sz w:val="28"/>
          <w:szCs w:val="28"/>
          <w:lang w:val="en-GB"/>
        </w:rPr>
        <w:t>A moving</w:t>
      </w:r>
      <w:r>
        <w:rPr>
          <w:b/>
          <w:sz w:val="28"/>
          <w:szCs w:val="28"/>
          <w:lang w:val="en-GB"/>
        </w:rPr>
        <w:t>-</w:t>
      </w:r>
      <w:r w:rsidRPr="00C10E21">
        <w:rPr>
          <w:b/>
          <w:sz w:val="28"/>
          <w:szCs w:val="28"/>
          <w:lang w:val="en-GB"/>
        </w:rPr>
        <w:t>block</w:t>
      </w:r>
      <w:r>
        <w:rPr>
          <w:b/>
          <w:sz w:val="28"/>
          <w:szCs w:val="28"/>
          <w:lang w:val="en-GB"/>
        </w:rPr>
        <w:t>-</w:t>
      </w:r>
      <w:r w:rsidRPr="00C10E21">
        <w:rPr>
          <w:b/>
          <w:sz w:val="28"/>
          <w:szCs w:val="28"/>
          <w:lang w:val="en-GB"/>
        </w:rPr>
        <w:t xml:space="preserve">PCA based approach for real </w:t>
      </w:r>
      <w:r>
        <w:rPr>
          <w:b/>
          <w:sz w:val="28"/>
          <w:szCs w:val="28"/>
          <w:lang w:val="en-GB"/>
        </w:rPr>
        <w:t xml:space="preserve">time </w:t>
      </w:r>
      <w:r w:rsidRPr="00C10E21">
        <w:rPr>
          <w:b/>
          <w:sz w:val="28"/>
          <w:szCs w:val="28"/>
          <w:lang w:val="en-GB"/>
        </w:rPr>
        <w:t xml:space="preserve">monitoring of a </w:t>
      </w:r>
      <w:r>
        <w:rPr>
          <w:b/>
          <w:sz w:val="28"/>
          <w:szCs w:val="28"/>
          <w:lang w:val="en-GB"/>
        </w:rPr>
        <w:t xml:space="preserve">powder </w:t>
      </w:r>
      <w:r w:rsidRPr="00C10E21">
        <w:rPr>
          <w:b/>
          <w:sz w:val="28"/>
          <w:szCs w:val="28"/>
          <w:lang w:val="en-GB"/>
        </w:rPr>
        <w:t xml:space="preserve">blending process </w:t>
      </w:r>
      <w:r w:rsidRPr="00DE13F5">
        <w:rPr>
          <w:b/>
          <w:sz w:val="28"/>
          <w:szCs w:val="28"/>
          <w:lang w:val="en-GB"/>
        </w:rPr>
        <w:t>using a miniaturized near infrared sensor</w:t>
      </w:r>
    </w:p>
    <w:p w14:paraId="2FAC5889" w14:textId="310E7229" w:rsidR="00F142EC" w:rsidRPr="00F142EC" w:rsidRDefault="00F142EC" w:rsidP="00F142EC">
      <w:pPr>
        <w:widowControl w:val="0"/>
        <w:adjustRightInd w:val="0"/>
        <w:spacing w:line="360" w:lineRule="auto"/>
        <w:ind w:firstLine="720"/>
        <w:jc w:val="center"/>
        <w:rPr>
          <w:rFonts w:eastAsia="Times New Roman"/>
          <w:sz w:val="22"/>
          <w:lang w:val="it-IT" w:eastAsia="ru-RU"/>
        </w:rPr>
      </w:pPr>
      <w:r w:rsidRPr="00A91B1E">
        <w:rPr>
          <w:rFonts w:eastAsia="Times New Roman"/>
          <w:sz w:val="22"/>
          <w:lang w:val="it-IT" w:eastAsia="ru-RU"/>
        </w:rPr>
        <w:t>Cristina Malegori</w:t>
      </w:r>
      <w:r w:rsidRPr="00A91B1E">
        <w:rPr>
          <w:rFonts w:eastAsia="Times New Roman"/>
          <w:sz w:val="22"/>
          <w:vertAlign w:val="superscript"/>
          <w:lang w:val="it-IT" w:eastAsia="ru-RU"/>
        </w:rPr>
        <w:t>1</w:t>
      </w:r>
      <w:r w:rsidRPr="00F142EC">
        <w:rPr>
          <w:rFonts w:eastAsia="Times New Roman"/>
          <w:sz w:val="22"/>
          <w:lang w:val="it-IT" w:eastAsia="ru-RU"/>
        </w:rPr>
        <w:t>, Paolo Oliveri</w:t>
      </w:r>
      <w:r>
        <w:rPr>
          <w:rFonts w:eastAsia="Times New Roman"/>
          <w:sz w:val="22"/>
          <w:vertAlign w:val="superscript"/>
          <w:lang w:val="it-IT" w:eastAsia="ru-RU"/>
        </w:rPr>
        <w:t>1</w:t>
      </w:r>
      <w:r w:rsidRPr="00F142EC">
        <w:rPr>
          <w:rFonts w:eastAsia="Times New Roman"/>
          <w:sz w:val="22"/>
          <w:lang w:val="it-IT" w:eastAsia="ru-RU"/>
        </w:rPr>
        <w:t>, Vanina Borghi</w:t>
      </w:r>
      <w:r>
        <w:rPr>
          <w:rFonts w:eastAsia="Times New Roman"/>
          <w:sz w:val="22"/>
          <w:vertAlign w:val="superscript"/>
          <w:lang w:val="it-IT" w:eastAsia="ru-RU"/>
        </w:rPr>
        <w:t>2</w:t>
      </w:r>
      <w:r w:rsidRPr="00F142EC">
        <w:rPr>
          <w:rFonts w:eastAsia="Times New Roman"/>
          <w:sz w:val="22"/>
          <w:lang w:val="it-IT" w:eastAsia="ru-RU"/>
        </w:rPr>
        <w:t>, Diana Carolina Angel</w:t>
      </w:r>
      <w:r>
        <w:rPr>
          <w:rFonts w:eastAsia="Times New Roman"/>
          <w:sz w:val="22"/>
          <w:vertAlign w:val="superscript"/>
          <w:lang w:val="it-IT" w:eastAsia="ru-RU"/>
        </w:rPr>
        <w:t>2</w:t>
      </w:r>
      <w:r w:rsidRPr="00F142EC">
        <w:rPr>
          <w:rFonts w:eastAsia="Times New Roman"/>
          <w:sz w:val="22"/>
          <w:lang w:val="it-IT" w:eastAsia="ru-RU"/>
        </w:rPr>
        <w:t>, Paola Melli</w:t>
      </w:r>
      <w:r>
        <w:rPr>
          <w:rFonts w:eastAsia="Times New Roman"/>
          <w:sz w:val="22"/>
          <w:vertAlign w:val="superscript"/>
          <w:lang w:val="it-IT" w:eastAsia="ru-RU"/>
        </w:rPr>
        <w:t>2</w:t>
      </w:r>
      <w:r w:rsidRPr="00F142EC">
        <w:rPr>
          <w:rFonts w:eastAsia="Times New Roman"/>
          <w:sz w:val="22"/>
          <w:lang w:val="it-IT" w:eastAsia="ru-RU"/>
        </w:rPr>
        <w:t>, Eleonora Mustorgi</w:t>
      </w:r>
      <w:r>
        <w:rPr>
          <w:rFonts w:eastAsia="Times New Roman"/>
          <w:sz w:val="22"/>
          <w:vertAlign w:val="superscript"/>
          <w:lang w:val="it-IT" w:eastAsia="ru-RU"/>
        </w:rPr>
        <w:t>1</w:t>
      </w:r>
      <w:r w:rsidRPr="00F142EC">
        <w:rPr>
          <w:rFonts w:eastAsia="Times New Roman"/>
          <w:sz w:val="22"/>
          <w:lang w:val="it-IT" w:eastAsia="ru-RU"/>
        </w:rPr>
        <w:t>, Monica Casale</w:t>
      </w:r>
      <w:r>
        <w:rPr>
          <w:rFonts w:eastAsia="Times New Roman"/>
          <w:sz w:val="22"/>
          <w:vertAlign w:val="superscript"/>
          <w:lang w:val="it-IT" w:eastAsia="ru-RU"/>
        </w:rPr>
        <w:t>1*</w:t>
      </w:r>
      <w:r w:rsidRPr="00F142EC">
        <w:rPr>
          <w:rFonts w:eastAsia="Times New Roman"/>
          <w:sz w:val="22"/>
          <w:lang w:val="it-IT" w:eastAsia="ru-RU"/>
        </w:rPr>
        <w:t>.</w:t>
      </w:r>
    </w:p>
    <w:p w14:paraId="01CD465B" w14:textId="5DB440C7" w:rsidR="00F142EC" w:rsidRPr="00F423B0" w:rsidRDefault="00F142EC" w:rsidP="00F142EC">
      <w:pPr>
        <w:pStyle w:val="Affiliation"/>
        <w:spacing w:before="0"/>
        <w:rPr>
          <w:szCs w:val="22"/>
          <w:lang w:val="en-GB"/>
        </w:rPr>
      </w:pPr>
      <w:r w:rsidRPr="00F423B0">
        <w:rPr>
          <w:vertAlign w:val="superscript"/>
          <w:lang w:val="en-GB"/>
        </w:rPr>
        <w:t>1</w:t>
      </w:r>
      <w:r w:rsidRPr="00F423B0">
        <w:rPr>
          <w:i/>
          <w:iCs/>
          <w:lang w:val="en-GB"/>
        </w:rPr>
        <w:t xml:space="preserve"> </w:t>
      </w:r>
      <w:r w:rsidRPr="00F423B0">
        <w:rPr>
          <w:szCs w:val="22"/>
          <w:lang w:val="en-GB"/>
        </w:rPr>
        <w:t xml:space="preserve">DIFAR - Department of Pharmacy, University of Genova, </w:t>
      </w:r>
      <w:proofErr w:type="spellStart"/>
      <w:r w:rsidRPr="00F423B0">
        <w:rPr>
          <w:szCs w:val="22"/>
          <w:lang w:val="en-GB"/>
        </w:rPr>
        <w:t>Viale</w:t>
      </w:r>
      <w:proofErr w:type="spellEnd"/>
      <w:r w:rsidRPr="00F423B0">
        <w:rPr>
          <w:szCs w:val="22"/>
          <w:lang w:val="en-GB"/>
        </w:rPr>
        <w:t xml:space="preserve"> </w:t>
      </w:r>
      <w:proofErr w:type="spellStart"/>
      <w:r w:rsidRPr="00F423B0">
        <w:rPr>
          <w:szCs w:val="22"/>
          <w:lang w:val="en-GB"/>
        </w:rPr>
        <w:t>Cembrano</w:t>
      </w:r>
      <w:proofErr w:type="spellEnd"/>
      <w:r w:rsidRPr="00F423B0">
        <w:rPr>
          <w:szCs w:val="22"/>
          <w:lang w:val="en-GB"/>
        </w:rPr>
        <w:t xml:space="preserve"> 4, 16148 – Genova, malegori@difar.unige.it, oliveri@difar.unige.it, mustorgi@difar.unige.it, casale@difar.unige.it</w:t>
      </w:r>
    </w:p>
    <w:p w14:paraId="3B10C895" w14:textId="2E83B685" w:rsidR="00F142EC" w:rsidRPr="00F423B0" w:rsidRDefault="00F142EC" w:rsidP="00F142EC">
      <w:pPr>
        <w:pStyle w:val="Affiliation"/>
        <w:spacing w:before="0"/>
        <w:rPr>
          <w:szCs w:val="22"/>
          <w:lang w:val="it-IT"/>
        </w:rPr>
      </w:pPr>
      <w:r w:rsidRPr="00F423B0">
        <w:rPr>
          <w:szCs w:val="22"/>
          <w:vertAlign w:val="superscript"/>
          <w:lang w:val="it-IT"/>
        </w:rPr>
        <w:t xml:space="preserve">2 </w:t>
      </w:r>
      <w:r w:rsidRPr="00F423B0">
        <w:rPr>
          <w:szCs w:val="22"/>
          <w:lang w:val="it-IT"/>
        </w:rPr>
        <w:t xml:space="preserve">Medi Nova s.a.s., Via Beethoven 2/A - 42122 Reggio Emilia, vaninaborghi@medi-nova.it, </w:t>
      </w:r>
      <w:r w:rsidR="00683EAB" w:rsidRPr="00F423B0">
        <w:rPr>
          <w:szCs w:val="22"/>
          <w:lang w:val="it-IT"/>
        </w:rPr>
        <w:t>dianaangel@medi-nova.it, paolamelli@medi-nova.it.</w:t>
      </w:r>
    </w:p>
    <w:p w14:paraId="7399FAC8" w14:textId="7ACA00DC" w:rsidR="00B57FD3" w:rsidRDefault="00C141DE" w:rsidP="00D77741">
      <w:pPr>
        <w:pStyle w:val="Affiliation"/>
        <w:spacing w:before="0"/>
        <w:rPr>
          <w:lang w:val="en-GB"/>
        </w:rPr>
      </w:pPr>
      <w:r w:rsidRPr="00CA258B">
        <w:rPr>
          <w:lang w:val="en-GB"/>
        </w:rPr>
        <w:t>*Corresponding author</w:t>
      </w:r>
    </w:p>
    <w:p w14:paraId="328FFC3F" w14:textId="77777777" w:rsidR="00D77741" w:rsidRPr="00D77741" w:rsidRDefault="00D77741" w:rsidP="00D77741">
      <w:pPr>
        <w:pStyle w:val="Affiliation"/>
        <w:spacing w:before="0"/>
        <w:rPr>
          <w:szCs w:val="22"/>
          <w:lang w:val="en-GB"/>
        </w:rPr>
      </w:pPr>
    </w:p>
    <w:p w14:paraId="3B759532" w14:textId="77777777" w:rsidR="00D77741" w:rsidRDefault="00D77741" w:rsidP="00D77741">
      <w:pPr>
        <w:pStyle w:val="AbstractBodyText"/>
        <w:spacing w:before="0"/>
        <w:rPr>
          <w:lang w:val="en-GB"/>
        </w:rPr>
      </w:pPr>
      <w:r w:rsidRPr="00D77741">
        <w:rPr>
          <w:lang w:val="en-GB"/>
        </w:rPr>
        <w:t>Semen extenders (SE) are zootechnical products added to animal semen as diluent and preservative before artificial insemination procedures. A key-step of SE production is the blending phase; the definition of the process endpoint is, usually, done according to a specific blending duration, decided on experience bases.</w:t>
      </w:r>
    </w:p>
    <w:p w14:paraId="4B2C2A06" w14:textId="31B9AED9" w:rsidR="00D77741" w:rsidRPr="00D77741" w:rsidRDefault="00D77741" w:rsidP="00D77741">
      <w:pPr>
        <w:pStyle w:val="AbstractBodyText"/>
        <w:spacing w:before="0"/>
        <w:rPr>
          <w:lang w:val="en-GB"/>
        </w:rPr>
      </w:pPr>
      <w:r w:rsidRPr="00D77741">
        <w:rPr>
          <w:lang w:val="en-GB"/>
        </w:rPr>
        <w:t>Aim of the present work is the development of a strategy for the monitoring of the blending phase in a continuous and non-destructive way, determining a specific process endpoint for every single batch, in a quality by design (</w:t>
      </w:r>
      <w:proofErr w:type="spellStart"/>
      <w:r w:rsidRPr="00D77741">
        <w:rPr>
          <w:lang w:val="en-GB"/>
        </w:rPr>
        <w:t>QbD</w:t>
      </w:r>
      <w:proofErr w:type="spellEnd"/>
      <w:r w:rsidRPr="00D77741">
        <w:rPr>
          <w:lang w:val="en-GB"/>
        </w:rPr>
        <w:t>) view.</w:t>
      </w:r>
    </w:p>
    <w:p w14:paraId="7854FD5F" w14:textId="77777777" w:rsidR="00D77741" w:rsidRPr="00D77741" w:rsidRDefault="00D77741" w:rsidP="00D77741">
      <w:pPr>
        <w:pStyle w:val="AbstractBodyText"/>
        <w:spacing w:before="0"/>
        <w:rPr>
          <w:lang w:val="en-GB"/>
        </w:rPr>
      </w:pPr>
      <w:r w:rsidRPr="00D77741">
        <w:rPr>
          <w:lang w:val="en-GB"/>
        </w:rPr>
        <w:t xml:space="preserve">In order to reach the aim, a </w:t>
      </w:r>
      <w:proofErr w:type="spellStart"/>
      <w:r w:rsidRPr="00D77741">
        <w:rPr>
          <w:lang w:val="en-GB"/>
        </w:rPr>
        <w:t>MicroNIR</w:t>
      </w:r>
      <w:proofErr w:type="spellEnd"/>
      <w:r w:rsidRPr="00D77741">
        <w:rPr>
          <w:lang w:val="en-GB"/>
        </w:rPr>
        <w:t xml:space="preserve"> PAT-U sensor (Viavi Solutions), working in the spectral range between 900 and 1700 nm, was directly clamped on the blender, enabling the acquisition of a spectrum every 4 s, through a sapphire window during the whole process. Before the implementation of the NIR sensor, the endpoint of SE blending was set at 20 min. Spectra were acquired for 20 batches of SE, used as calibration set, and the strategy was validated on other 6 independent batches.</w:t>
      </w:r>
    </w:p>
    <w:p w14:paraId="6F891381" w14:textId="77777777" w:rsidR="00D77741" w:rsidRPr="00D77741" w:rsidRDefault="00D77741" w:rsidP="00D77741">
      <w:pPr>
        <w:pStyle w:val="AbstractBodyText"/>
        <w:spacing w:before="0"/>
        <w:rPr>
          <w:lang w:val="en-GB"/>
        </w:rPr>
      </w:pPr>
      <w:r w:rsidRPr="00D77741">
        <w:rPr>
          <w:lang w:val="en-GB"/>
        </w:rPr>
        <w:t xml:space="preserve">On the collected signals, a proper data </w:t>
      </w:r>
      <w:proofErr w:type="spellStart"/>
      <w:r w:rsidRPr="00D77741">
        <w:rPr>
          <w:lang w:val="en-GB"/>
        </w:rPr>
        <w:t>pretreatment</w:t>
      </w:r>
      <w:proofErr w:type="spellEnd"/>
      <w:r w:rsidRPr="00D77741">
        <w:rPr>
          <w:lang w:val="en-GB"/>
        </w:rPr>
        <w:t xml:space="preserve"> was performed and then, standard deviation spectra were calculated applying a moving-block strategy. After a proper mean-</w:t>
      </w:r>
      <w:proofErr w:type="spellStart"/>
      <w:r w:rsidRPr="00D77741">
        <w:rPr>
          <w:lang w:val="en-GB"/>
        </w:rPr>
        <w:t>centering</w:t>
      </w:r>
      <w:proofErr w:type="spellEnd"/>
      <w:r w:rsidRPr="00D77741">
        <w:rPr>
          <w:lang w:val="en-GB"/>
        </w:rPr>
        <w:t>, principal component analysis (PCA) was applied on the calibration batches, and the validation batches were projected into the space defined by the two lowest-order principal components. The influence plot (Hotelling’s T</w:t>
      </w:r>
      <w:r w:rsidRPr="00D77741">
        <w:rPr>
          <w:vertAlign w:val="superscript"/>
          <w:lang w:val="en-GB"/>
        </w:rPr>
        <w:t>2</w:t>
      </w:r>
      <w:r w:rsidRPr="00D77741">
        <w:rPr>
          <w:lang w:val="en-GB"/>
        </w:rPr>
        <w:t xml:space="preserve"> vs. Q residuals) and its statistical boundaries at a 95% confidence level were implemented as a multivariate control chart, for the monitoring of the </w:t>
      </w:r>
      <w:proofErr w:type="spellStart"/>
      <w:r w:rsidRPr="00D77741">
        <w:rPr>
          <w:lang w:val="en-GB"/>
        </w:rPr>
        <w:t>behavior</w:t>
      </w:r>
      <w:proofErr w:type="spellEnd"/>
      <w:r w:rsidRPr="00D77741">
        <w:rPr>
          <w:lang w:val="en-GB"/>
        </w:rPr>
        <w:t xml:space="preserve"> of new batches in the orthogonal space defined by PCA. The endpoint criterion was defined after acceptance of 15 consecutive spectra accepted by the multivariate control chart. Thanks to the present approach, the average time of the process was reduced to 5 min. </w:t>
      </w:r>
    </w:p>
    <w:p w14:paraId="7536C683" w14:textId="2EBF35ED" w:rsidR="00C141DE" w:rsidRPr="00CA258B" w:rsidRDefault="00D77741" w:rsidP="00D77741">
      <w:pPr>
        <w:pStyle w:val="AbstractBodyText"/>
        <w:spacing w:before="0"/>
        <w:rPr>
          <w:lang w:val="en-GB"/>
        </w:rPr>
      </w:pPr>
      <w:r w:rsidRPr="00D77741">
        <w:rPr>
          <w:lang w:val="en-GB"/>
        </w:rPr>
        <w:t xml:space="preserve">The whole strategy was implemented in a dedicated software, called </w:t>
      </w:r>
      <w:proofErr w:type="spellStart"/>
      <w:r w:rsidRPr="00D77741">
        <w:rPr>
          <w:lang w:val="en-GB"/>
        </w:rPr>
        <w:t>NIRNova</w:t>
      </w:r>
      <w:proofErr w:type="spellEnd"/>
      <w:r w:rsidRPr="00D77741">
        <w:rPr>
          <w:lang w:val="en-GB"/>
        </w:rPr>
        <w:t xml:space="preserve">, developed in house with </w:t>
      </w:r>
      <w:proofErr w:type="spellStart"/>
      <w:r w:rsidRPr="00D77741">
        <w:rPr>
          <w:lang w:val="en-GB"/>
        </w:rPr>
        <w:t>Matlab</w:t>
      </w:r>
      <w:proofErr w:type="spellEnd"/>
      <w:r w:rsidRPr="00D77741">
        <w:rPr>
          <w:lang w:val="en-GB"/>
        </w:rPr>
        <w:t xml:space="preserve"> App Designer. Thanks to </w:t>
      </w:r>
      <w:proofErr w:type="spellStart"/>
      <w:r w:rsidRPr="00D77741">
        <w:rPr>
          <w:lang w:val="en-GB"/>
        </w:rPr>
        <w:t>NIRNova</w:t>
      </w:r>
      <w:proofErr w:type="spellEnd"/>
      <w:r w:rsidRPr="00D77741">
        <w:rPr>
          <w:lang w:val="en-GB"/>
        </w:rPr>
        <w:t>, the production of SE is now monitored continuously in a non-destructive way, with a definition of the process endpoint for every single batch. Uniformity tests demonstrated that, despite the significantly time reduction, the final product is properly mixed.</w:t>
      </w:r>
    </w:p>
    <w:p w14:paraId="516A7EB5" w14:textId="705E9328" w:rsidR="00F313E3" w:rsidRDefault="00C141DE" w:rsidP="00470C84">
      <w:pPr>
        <w:pStyle w:val="AbstractBodyText"/>
        <w:rPr>
          <w:lang w:val="en-GB"/>
        </w:rPr>
      </w:pPr>
      <w:r w:rsidRPr="00CA258B">
        <w:rPr>
          <w:b/>
          <w:lang w:val="en-GB"/>
        </w:rPr>
        <w:t xml:space="preserve">Keywords: </w:t>
      </w:r>
      <w:r w:rsidR="00BA24F7" w:rsidRPr="00BA24F7">
        <w:rPr>
          <w:lang w:val="en-GB"/>
        </w:rPr>
        <w:t>miniaturized</w:t>
      </w:r>
      <w:r w:rsidR="00BA24F7">
        <w:rPr>
          <w:lang w:val="en-GB"/>
        </w:rPr>
        <w:t xml:space="preserve"> NIR</w:t>
      </w:r>
      <w:r w:rsidRPr="00CA258B">
        <w:rPr>
          <w:lang w:val="en-GB"/>
        </w:rPr>
        <w:t xml:space="preserve">, </w:t>
      </w:r>
      <w:r w:rsidR="00BA24F7" w:rsidRPr="00BA24F7">
        <w:rPr>
          <w:lang w:val="en-GB"/>
        </w:rPr>
        <w:t>blending</w:t>
      </w:r>
      <w:r w:rsidR="00BA24F7">
        <w:rPr>
          <w:lang w:val="en-GB"/>
        </w:rPr>
        <w:t xml:space="preserve"> phase,</w:t>
      </w:r>
      <w:r w:rsidR="00BA24F7" w:rsidRPr="00BA24F7">
        <w:rPr>
          <w:lang w:val="en-GB"/>
        </w:rPr>
        <w:t xml:space="preserve"> process</w:t>
      </w:r>
      <w:r w:rsidR="00BA24F7">
        <w:rPr>
          <w:lang w:val="en-GB"/>
        </w:rPr>
        <w:t xml:space="preserve"> endpoint</w:t>
      </w:r>
      <w:r w:rsidRPr="00CA258B">
        <w:rPr>
          <w:lang w:val="en-GB"/>
        </w:rPr>
        <w:t xml:space="preserve">, </w:t>
      </w:r>
      <w:r w:rsidR="00BA24F7" w:rsidRPr="00BA24F7">
        <w:rPr>
          <w:lang w:val="en-GB"/>
        </w:rPr>
        <w:t>moving-block-PCA</w:t>
      </w:r>
      <w:r w:rsidR="00BA24F7">
        <w:rPr>
          <w:lang w:val="en-GB"/>
        </w:rPr>
        <w:t xml:space="preserve">. </w:t>
      </w:r>
    </w:p>
    <w:p w14:paraId="77405DCA" w14:textId="77777777" w:rsidR="00F313E3" w:rsidRDefault="00F313E3">
      <w:pPr>
        <w:rPr>
          <w:lang w:val="en-GB"/>
        </w:rPr>
      </w:pPr>
      <w:r>
        <w:rPr>
          <w:lang w:val="en-GB"/>
        </w:rPr>
        <w:br w:type="page"/>
      </w:r>
    </w:p>
    <w:p w14:paraId="7B5AFCC0" w14:textId="77777777" w:rsidR="00F313E3" w:rsidRPr="003C276F" w:rsidRDefault="00F313E3" w:rsidP="00F313E3">
      <w:pPr>
        <w:widowControl w:val="0"/>
        <w:adjustRightInd w:val="0"/>
        <w:spacing w:line="360" w:lineRule="auto"/>
        <w:ind w:firstLine="720"/>
        <w:jc w:val="center"/>
        <w:rPr>
          <w:b/>
          <w:sz w:val="28"/>
          <w:szCs w:val="28"/>
          <w:lang w:val="en-GB"/>
        </w:rPr>
      </w:pPr>
      <w:r w:rsidRPr="00C10E21">
        <w:rPr>
          <w:b/>
          <w:sz w:val="28"/>
          <w:szCs w:val="28"/>
          <w:lang w:val="en-GB"/>
        </w:rPr>
        <w:lastRenderedPageBreak/>
        <w:t>A moving</w:t>
      </w:r>
      <w:r>
        <w:rPr>
          <w:b/>
          <w:sz w:val="28"/>
          <w:szCs w:val="28"/>
          <w:lang w:val="en-GB"/>
        </w:rPr>
        <w:t>-</w:t>
      </w:r>
      <w:r w:rsidRPr="00C10E21">
        <w:rPr>
          <w:b/>
          <w:sz w:val="28"/>
          <w:szCs w:val="28"/>
          <w:lang w:val="en-GB"/>
        </w:rPr>
        <w:t>block</w:t>
      </w:r>
      <w:r>
        <w:rPr>
          <w:b/>
          <w:sz w:val="28"/>
          <w:szCs w:val="28"/>
          <w:lang w:val="en-GB"/>
        </w:rPr>
        <w:t>-</w:t>
      </w:r>
      <w:r w:rsidRPr="00C10E21">
        <w:rPr>
          <w:b/>
          <w:sz w:val="28"/>
          <w:szCs w:val="28"/>
          <w:lang w:val="en-GB"/>
        </w:rPr>
        <w:t xml:space="preserve">PCA based approach for real </w:t>
      </w:r>
      <w:r>
        <w:rPr>
          <w:b/>
          <w:sz w:val="28"/>
          <w:szCs w:val="28"/>
          <w:lang w:val="en-GB"/>
        </w:rPr>
        <w:t xml:space="preserve">time </w:t>
      </w:r>
      <w:r w:rsidRPr="00C10E21">
        <w:rPr>
          <w:b/>
          <w:sz w:val="28"/>
          <w:szCs w:val="28"/>
          <w:lang w:val="en-GB"/>
        </w:rPr>
        <w:t xml:space="preserve">monitoring of a </w:t>
      </w:r>
      <w:r>
        <w:rPr>
          <w:b/>
          <w:sz w:val="28"/>
          <w:szCs w:val="28"/>
          <w:lang w:val="en-GB"/>
        </w:rPr>
        <w:t xml:space="preserve">powder </w:t>
      </w:r>
      <w:r w:rsidRPr="00C10E21">
        <w:rPr>
          <w:b/>
          <w:sz w:val="28"/>
          <w:szCs w:val="28"/>
          <w:lang w:val="en-GB"/>
        </w:rPr>
        <w:t xml:space="preserve">blending process </w:t>
      </w:r>
      <w:r w:rsidRPr="00DE13F5">
        <w:rPr>
          <w:b/>
          <w:sz w:val="28"/>
          <w:szCs w:val="28"/>
          <w:lang w:val="en-GB"/>
        </w:rPr>
        <w:t>using a miniaturized near infrared sensor</w:t>
      </w:r>
    </w:p>
    <w:p w14:paraId="6C9F4104" w14:textId="77777777" w:rsidR="00F313E3" w:rsidRPr="00F142EC" w:rsidRDefault="00F313E3" w:rsidP="00F313E3">
      <w:pPr>
        <w:widowControl w:val="0"/>
        <w:adjustRightInd w:val="0"/>
        <w:spacing w:line="360" w:lineRule="auto"/>
        <w:ind w:firstLine="720"/>
        <w:jc w:val="center"/>
        <w:rPr>
          <w:rFonts w:eastAsia="Times New Roman"/>
          <w:sz w:val="22"/>
          <w:lang w:val="it-IT" w:eastAsia="ru-RU"/>
        </w:rPr>
      </w:pPr>
      <w:r w:rsidRPr="00A91B1E">
        <w:rPr>
          <w:rFonts w:eastAsia="Times New Roman"/>
          <w:sz w:val="22"/>
          <w:lang w:val="it-IT" w:eastAsia="ru-RU"/>
        </w:rPr>
        <w:t>Cristina Malegori</w:t>
      </w:r>
      <w:r w:rsidRPr="00A91B1E">
        <w:rPr>
          <w:rFonts w:eastAsia="Times New Roman"/>
          <w:sz w:val="22"/>
          <w:vertAlign w:val="superscript"/>
          <w:lang w:val="it-IT" w:eastAsia="ru-RU"/>
        </w:rPr>
        <w:t>1</w:t>
      </w:r>
      <w:r w:rsidRPr="00F142EC">
        <w:rPr>
          <w:rFonts w:eastAsia="Times New Roman"/>
          <w:sz w:val="22"/>
          <w:lang w:val="it-IT" w:eastAsia="ru-RU"/>
        </w:rPr>
        <w:t>, Paolo Oliveri</w:t>
      </w:r>
      <w:r>
        <w:rPr>
          <w:rFonts w:eastAsia="Times New Roman"/>
          <w:sz w:val="22"/>
          <w:vertAlign w:val="superscript"/>
          <w:lang w:val="it-IT" w:eastAsia="ru-RU"/>
        </w:rPr>
        <w:t>1</w:t>
      </w:r>
      <w:r w:rsidRPr="00F142EC">
        <w:rPr>
          <w:rFonts w:eastAsia="Times New Roman"/>
          <w:sz w:val="22"/>
          <w:lang w:val="it-IT" w:eastAsia="ru-RU"/>
        </w:rPr>
        <w:t>, Vanina Borghi</w:t>
      </w:r>
      <w:r>
        <w:rPr>
          <w:rFonts w:eastAsia="Times New Roman"/>
          <w:sz w:val="22"/>
          <w:vertAlign w:val="superscript"/>
          <w:lang w:val="it-IT" w:eastAsia="ru-RU"/>
        </w:rPr>
        <w:t>2</w:t>
      </w:r>
      <w:r w:rsidRPr="00F142EC">
        <w:rPr>
          <w:rFonts w:eastAsia="Times New Roman"/>
          <w:sz w:val="22"/>
          <w:lang w:val="it-IT" w:eastAsia="ru-RU"/>
        </w:rPr>
        <w:t>, Diana Carolina Angel</w:t>
      </w:r>
      <w:r>
        <w:rPr>
          <w:rFonts w:eastAsia="Times New Roman"/>
          <w:sz w:val="22"/>
          <w:vertAlign w:val="superscript"/>
          <w:lang w:val="it-IT" w:eastAsia="ru-RU"/>
        </w:rPr>
        <w:t>2</w:t>
      </w:r>
      <w:r w:rsidRPr="00F142EC">
        <w:rPr>
          <w:rFonts w:eastAsia="Times New Roman"/>
          <w:sz w:val="22"/>
          <w:lang w:val="it-IT" w:eastAsia="ru-RU"/>
        </w:rPr>
        <w:t>, Paola Melli</w:t>
      </w:r>
      <w:r>
        <w:rPr>
          <w:rFonts w:eastAsia="Times New Roman"/>
          <w:sz w:val="22"/>
          <w:vertAlign w:val="superscript"/>
          <w:lang w:val="it-IT" w:eastAsia="ru-RU"/>
        </w:rPr>
        <w:t>2</w:t>
      </w:r>
      <w:r w:rsidRPr="00F142EC">
        <w:rPr>
          <w:rFonts w:eastAsia="Times New Roman"/>
          <w:sz w:val="22"/>
          <w:lang w:val="it-IT" w:eastAsia="ru-RU"/>
        </w:rPr>
        <w:t>, Eleonora Mustorgi</w:t>
      </w:r>
      <w:r>
        <w:rPr>
          <w:rFonts w:eastAsia="Times New Roman"/>
          <w:sz w:val="22"/>
          <w:vertAlign w:val="superscript"/>
          <w:lang w:val="it-IT" w:eastAsia="ru-RU"/>
        </w:rPr>
        <w:t>1</w:t>
      </w:r>
      <w:r w:rsidRPr="00F142EC">
        <w:rPr>
          <w:rFonts w:eastAsia="Times New Roman"/>
          <w:sz w:val="22"/>
          <w:lang w:val="it-IT" w:eastAsia="ru-RU"/>
        </w:rPr>
        <w:t>, Monica Casale</w:t>
      </w:r>
      <w:r>
        <w:rPr>
          <w:rFonts w:eastAsia="Times New Roman"/>
          <w:sz w:val="22"/>
          <w:vertAlign w:val="superscript"/>
          <w:lang w:val="it-IT" w:eastAsia="ru-RU"/>
        </w:rPr>
        <w:t>1*</w:t>
      </w:r>
      <w:r w:rsidRPr="00F142EC">
        <w:rPr>
          <w:rFonts w:eastAsia="Times New Roman"/>
          <w:sz w:val="22"/>
          <w:lang w:val="it-IT" w:eastAsia="ru-RU"/>
        </w:rPr>
        <w:t>.</w:t>
      </w:r>
    </w:p>
    <w:p w14:paraId="348E2C9E" w14:textId="41E0CB98" w:rsidR="00F313E3" w:rsidRPr="00F313E3" w:rsidRDefault="00F313E3" w:rsidP="00F313E3">
      <w:pPr>
        <w:pStyle w:val="Affiliation"/>
        <w:spacing w:before="0"/>
        <w:rPr>
          <w:szCs w:val="22"/>
          <w:lang w:val="it-IT"/>
        </w:rPr>
      </w:pPr>
      <w:r w:rsidRPr="00F313E3">
        <w:rPr>
          <w:vertAlign w:val="superscript"/>
          <w:lang w:val="it-IT"/>
        </w:rPr>
        <w:t>1</w:t>
      </w:r>
      <w:r w:rsidRPr="00F313E3">
        <w:rPr>
          <w:i/>
          <w:iCs/>
          <w:lang w:val="it-IT"/>
        </w:rPr>
        <w:t xml:space="preserve"> </w:t>
      </w:r>
      <w:r w:rsidRPr="00F313E3">
        <w:rPr>
          <w:szCs w:val="22"/>
          <w:lang w:val="it-IT"/>
        </w:rPr>
        <w:t xml:space="preserve">DIFAR </w:t>
      </w:r>
      <w:r>
        <w:rPr>
          <w:szCs w:val="22"/>
          <w:lang w:val="it-IT"/>
        </w:rPr>
        <w:t>–</w:t>
      </w:r>
      <w:r w:rsidRPr="00F313E3">
        <w:rPr>
          <w:szCs w:val="22"/>
          <w:lang w:val="it-IT"/>
        </w:rPr>
        <w:t xml:space="preserve"> Di</w:t>
      </w:r>
      <w:r>
        <w:rPr>
          <w:szCs w:val="22"/>
          <w:lang w:val="it-IT"/>
        </w:rPr>
        <w:t>partimento di Farmacia</w:t>
      </w:r>
      <w:r w:rsidRPr="00F313E3">
        <w:rPr>
          <w:szCs w:val="22"/>
          <w:lang w:val="it-IT"/>
        </w:rPr>
        <w:t>, Universit</w:t>
      </w:r>
      <w:r>
        <w:rPr>
          <w:szCs w:val="22"/>
          <w:lang w:val="it-IT"/>
        </w:rPr>
        <w:t>à</w:t>
      </w:r>
      <w:r w:rsidRPr="00F313E3">
        <w:rPr>
          <w:szCs w:val="22"/>
          <w:lang w:val="it-IT"/>
        </w:rPr>
        <w:t xml:space="preserve"> </w:t>
      </w:r>
      <w:r>
        <w:rPr>
          <w:szCs w:val="22"/>
          <w:lang w:val="it-IT"/>
        </w:rPr>
        <w:t>di</w:t>
      </w:r>
      <w:r w:rsidRPr="00F313E3">
        <w:rPr>
          <w:szCs w:val="22"/>
          <w:lang w:val="it-IT"/>
        </w:rPr>
        <w:t xml:space="preserve"> Genova, Viale Cembrano 4, 16148 – Genova, malegori@difar.unige.it, oliveri@difar.unige.it, mustorgi@difar.unige.it, casale@difar.unige.it</w:t>
      </w:r>
    </w:p>
    <w:p w14:paraId="4D526E1B" w14:textId="77777777" w:rsidR="00F313E3" w:rsidRPr="00F423B0" w:rsidRDefault="00F313E3" w:rsidP="00F313E3">
      <w:pPr>
        <w:pStyle w:val="Affiliation"/>
        <w:spacing w:before="0"/>
        <w:rPr>
          <w:szCs w:val="22"/>
          <w:lang w:val="it-IT"/>
        </w:rPr>
      </w:pPr>
      <w:r w:rsidRPr="00F423B0">
        <w:rPr>
          <w:szCs w:val="22"/>
          <w:vertAlign w:val="superscript"/>
          <w:lang w:val="it-IT"/>
        </w:rPr>
        <w:t xml:space="preserve">2 </w:t>
      </w:r>
      <w:r w:rsidRPr="00F423B0">
        <w:rPr>
          <w:szCs w:val="22"/>
          <w:lang w:val="it-IT"/>
        </w:rPr>
        <w:t>Medi Nova s.a.s., Via Beethoven 2/A - 42122 Reggio Emilia, vaninaborghi@medi-nova.it, dianaangel@medi-nova.it, paolamelli@medi-nova.it.</w:t>
      </w:r>
    </w:p>
    <w:p w14:paraId="6E56F14D" w14:textId="38C24491" w:rsidR="00F313E3" w:rsidRDefault="00F313E3" w:rsidP="00F313E3">
      <w:pPr>
        <w:pStyle w:val="Affiliation"/>
        <w:spacing w:before="0"/>
        <w:rPr>
          <w:lang w:val="it-IT"/>
        </w:rPr>
      </w:pPr>
      <w:r w:rsidRPr="00F313E3">
        <w:rPr>
          <w:lang w:val="it-IT"/>
        </w:rPr>
        <w:t>*</w:t>
      </w:r>
      <w:proofErr w:type="spellStart"/>
      <w:r w:rsidRPr="00F313E3">
        <w:rPr>
          <w:lang w:val="it-IT"/>
        </w:rPr>
        <w:t>Corresponding</w:t>
      </w:r>
      <w:proofErr w:type="spellEnd"/>
      <w:r w:rsidRPr="00F313E3">
        <w:rPr>
          <w:lang w:val="it-IT"/>
        </w:rPr>
        <w:t xml:space="preserve"> </w:t>
      </w:r>
      <w:proofErr w:type="spellStart"/>
      <w:r w:rsidRPr="00F313E3">
        <w:rPr>
          <w:lang w:val="it-IT"/>
        </w:rPr>
        <w:t>author</w:t>
      </w:r>
      <w:proofErr w:type="spellEnd"/>
    </w:p>
    <w:p w14:paraId="0FCD33EA" w14:textId="4E4D4530" w:rsidR="00F313E3" w:rsidRDefault="00F313E3" w:rsidP="00F313E3">
      <w:pPr>
        <w:pStyle w:val="Affiliation"/>
        <w:spacing w:before="0"/>
        <w:rPr>
          <w:lang w:val="it-IT"/>
        </w:rPr>
      </w:pPr>
    </w:p>
    <w:p w14:paraId="05643096" w14:textId="77777777" w:rsidR="00F313E3" w:rsidRPr="00F313E3" w:rsidRDefault="00F313E3" w:rsidP="00F313E3">
      <w:pPr>
        <w:pStyle w:val="Affiliation"/>
        <w:spacing w:before="0"/>
        <w:rPr>
          <w:lang w:val="it-IT"/>
        </w:rPr>
      </w:pPr>
    </w:p>
    <w:p w14:paraId="4A88D276" w14:textId="04A59294" w:rsidR="00F313E3" w:rsidRPr="00F313E3" w:rsidRDefault="00F313E3" w:rsidP="00F313E3">
      <w:pPr>
        <w:pStyle w:val="AbstractBodyText"/>
        <w:spacing w:before="0"/>
        <w:rPr>
          <w:lang w:val="it-IT"/>
        </w:rPr>
      </w:pPr>
      <w:r w:rsidRPr="00E50139">
        <w:rPr>
          <w:lang w:val="it-IT"/>
        </w:rPr>
        <w:t xml:space="preserve">Gli estensori dello sperma (SE) sono prodotti zootecnici aggiunti allo sperma animale come diluente e conservante prima delle procedure di inseminazione artificiale. </w:t>
      </w:r>
      <w:r w:rsidRPr="00F313E3">
        <w:rPr>
          <w:lang w:val="it-IT"/>
        </w:rPr>
        <w:t>Una fase chiave della produzione di</w:t>
      </w:r>
      <w:r>
        <w:rPr>
          <w:lang w:val="it-IT"/>
        </w:rPr>
        <w:t xml:space="preserve"> </w:t>
      </w:r>
      <w:proofErr w:type="gramStart"/>
      <w:r w:rsidRPr="00F313E3">
        <w:rPr>
          <w:lang w:val="it-IT"/>
        </w:rPr>
        <w:t>SE</w:t>
      </w:r>
      <w:proofErr w:type="gramEnd"/>
      <w:r w:rsidRPr="00F313E3">
        <w:rPr>
          <w:lang w:val="it-IT"/>
        </w:rPr>
        <w:t xml:space="preserve"> è la fase di miscelazione; la definizione dell'</w:t>
      </w:r>
      <w:r w:rsidRPr="00F313E3">
        <w:rPr>
          <w:i/>
          <w:iCs/>
          <w:lang w:val="it-IT"/>
        </w:rPr>
        <w:t>endpoint</w:t>
      </w:r>
      <w:r w:rsidRPr="00F313E3">
        <w:rPr>
          <w:lang w:val="it-IT"/>
        </w:rPr>
        <w:t xml:space="preserve"> del processo è, di solito, fatta </w:t>
      </w:r>
      <w:r>
        <w:rPr>
          <w:lang w:val="it-IT"/>
        </w:rPr>
        <w:t>sulla base della</w:t>
      </w:r>
      <w:r w:rsidRPr="00F313E3">
        <w:rPr>
          <w:lang w:val="it-IT"/>
        </w:rPr>
        <w:t xml:space="preserve"> durata d</w:t>
      </w:r>
      <w:r>
        <w:rPr>
          <w:lang w:val="it-IT"/>
        </w:rPr>
        <w:t>ella</w:t>
      </w:r>
      <w:r w:rsidRPr="00F313E3">
        <w:rPr>
          <w:lang w:val="it-IT"/>
        </w:rPr>
        <w:t xml:space="preserve"> miscelazione</w:t>
      </w:r>
      <w:r w:rsidR="00A7100C" w:rsidRPr="00A7100C">
        <w:rPr>
          <w:lang w:val="it-IT"/>
        </w:rPr>
        <w:t xml:space="preserve"> </w:t>
      </w:r>
      <w:r w:rsidR="00A7100C" w:rsidRPr="00F313E3">
        <w:rPr>
          <w:lang w:val="it-IT"/>
        </w:rPr>
        <w:t>specifica</w:t>
      </w:r>
      <w:r w:rsidRPr="00F313E3">
        <w:rPr>
          <w:lang w:val="it-IT"/>
        </w:rPr>
        <w:t>, decisa in base all'esperienza.</w:t>
      </w:r>
    </w:p>
    <w:p w14:paraId="7DFEC990" w14:textId="3663E827" w:rsidR="00F313E3" w:rsidRPr="00A7100C" w:rsidRDefault="00F313E3" w:rsidP="00F313E3">
      <w:pPr>
        <w:pStyle w:val="AbstractBodyText"/>
        <w:spacing w:before="0"/>
        <w:rPr>
          <w:lang w:val="it-IT"/>
        </w:rPr>
      </w:pPr>
      <w:r w:rsidRPr="00A7100C">
        <w:rPr>
          <w:lang w:val="it-IT"/>
        </w:rPr>
        <w:t xml:space="preserve">Scopo del presente lavoro è lo sviluppo di una strategia per il monitoraggio della fase di miscelazione in modo continuo e non distruttivo, determinando un </w:t>
      </w:r>
      <w:r w:rsidRPr="00A7100C">
        <w:rPr>
          <w:i/>
          <w:iCs/>
          <w:lang w:val="it-IT"/>
        </w:rPr>
        <w:t>endpoint</w:t>
      </w:r>
      <w:r w:rsidRPr="00A7100C">
        <w:rPr>
          <w:lang w:val="it-IT"/>
        </w:rPr>
        <w:t xml:space="preserve"> di processo specifico per ogni singolo lotto, in una prospettiva di </w:t>
      </w:r>
      <w:proofErr w:type="spellStart"/>
      <w:r w:rsidR="00A7100C" w:rsidRPr="00E50139">
        <w:rPr>
          <w:i/>
          <w:iCs/>
          <w:lang w:val="it-IT"/>
        </w:rPr>
        <w:t>quality</w:t>
      </w:r>
      <w:proofErr w:type="spellEnd"/>
      <w:r w:rsidR="00A7100C" w:rsidRPr="00E50139">
        <w:rPr>
          <w:i/>
          <w:iCs/>
          <w:lang w:val="it-IT"/>
        </w:rPr>
        <w:t xml:space="preserve"> by design</w:t>
      </w:r>
      <w:r w:rsidR="00A7100C" w:rsidRPr="00A7100C">
        <w:rPr>
          <w:lang w:val="it-IT"/>
        </w:rPr>
        <w:t xml:space="preserve"> (</w:t>
      </w:r>
      <w:proofErr w:type="spellStart"/>
      <w:r w:rsidR="00A7100C" w:rsidRPr="00A7100C">
        <w:rPr>
          <w:lang w:val="it-IT"/>
        </w:rPr>
        <w:t>QbD</w:t>
      </w:r>
      <w:proofErr w:type="spellEnd"/>
      <w:r w:rsidR="00A7100C" w:rsidRPr="00A7100C">
        <w:rPr>
          <w:lang w:val="it-IT"/>
        </w:rPr>
        <w:t>)</w:t>
      </w:r>
      <w:r w:rsidR="00A7100C">
        <w:rPr>
          <w:lang w:val="it-IT"/>
        </w:rPr>
        <w:t>.</w:t>
      </w:r>
    </w:p>
    <w:p w14:paraId="32878B34" w14:textId="174FF67B" w:rsidR="00F313E3" w:rsidRPr="00E50139" w:rsidRDefault="00F313E3" w:rsidP="00F313E3">
      <w:pPr>
        <w:pStyle w:val="AbstractBodyText"/>
        <w:spacing w:before="0"/>
        <w:rPr>
          <w:lang w:val="it-IT"/>
        </w:rPr>
      </w:pPr>
      <w:r w:rsidRPr="00A7100C">
        <w:rPr>
          <w:lang w:val="it-IT"/>
        </w:rPr>
        <w:t xml:space="preserve">Per raggiungere l'obiettivo, un sensore </w:t>
      </w:r>
      <w:proofErr w:type="spellStart"/>
      <w:r w:rsidRPr="00A7100C">
        <w:rPr>
          <w:lang w:val="it-IT"/>
        </w:rPr>
        <w:t>MicroNIR</w:t>
      </w:r>
      <w:proofErr w:type="spellEnd"/>
      <w:r w:rsidRPr="00A7100C">
        <w:rPr>
          <w:lang w:val="it-IT"/>
        </w:rPr>
        <w:t xml:space="preserve"> PAT-U (</w:t>
      </w:r>
      <w:proofErr w:type="spellStart"/>
      <w:r w:rsidRPr="00A7100C">
        <w:rPr>
          <w:lang w:val="it-IT"/>
        </w:rPr>
        <w:t>Viavi</w:t>
      </w:r>
      <w:proofErr w:type="spellEnd"/>
      <w:r w:rsidRPr="00A7100C">
        <w:rPr>
          <w:lang w:val="it-IT"/>
        </w:rPr>
        <w:t xml:space="preserve"> Solutions), operante </w:t>
      </w:r>
      <w:r w:rsidR="00A7100C" w:rsidRPr="00A7100C">
        <w:rPr>
          <w:lang w:val="it-IT"/>
        </w:rPr>
        <w:t>ne</w:t>
      </w:r>
      <w:r w:rsidR="00A7100C">
        <w:rPr>
          <w:lang w:val="it-IT"/>
        </w:rPr>
        <w:t>l range</w:t>
      </w:r>
      <w:r w:rsidRPr="00A7100C">
        <w:rPr>
          <w:lang w:val="it-IT"/>
        </w:rPr>
        <w:t xml:space="preserve"> spettrale compres</w:t>
      </w:r>
      <w:r w:rsidR="00A7100C">
        <w:rPr>
          <w:lang w:val="it-IT"/>
        </w:rPr>
        <w:t>o</w:t>
      </w:r>
      <w:r w:rsidRPr="00A7100C">
        <w:rPr>
          <w:lang w:val="it-IT"/>
        </w:rPr>
        <w:t xml:space="preserve"> tra 900 e 1700 nm, è stato direttamente fissato al miscelatore, consentendo l'acquisizione di uno spettro ogni 4 s, attraverso una finestra di zaffiro durante l'intero processo. Prima dell'implementazione del sensore NIR, l'</w:t>
      </w:r>
      <w:r w:rsidRPr="00A7100C">
        <w:rPr>
          <w:i/>
          <w:iCs/>
          <w:lang w:val="it-IT"/>
        </w:rPr>
        <w:t>endpoint</w:t>
      </w:r>
      <w:r w:rsidRPr="00A7100C">
        <w:rPr>
          <w:lang w:val="it-IT"/>
        </w:rPr>
        <w:t xml:space="preserve"> della miscelazione era fissato a 20 min. </w:t>
      </w:r>
      <w:r w:rsidRPr="00E50139">
        <w:rPr>
          <w:lang w:val="it-IT"/>
        </w:rPr>
        <w:t xml:space="preserve">Gli spettri sono stati acquisiti per 20 lotti di </w:t>
      </w:r>
      <w:proofErr w:type="gramStart"/>
      <w:r w:rsidRPr="00E50139">
        <w:rPr>
          <w:lang w:val="it-IT"/>
        </w:rPr>
        <w:t>SE</w:t>
      </w:r>
      <w:proofErr w:type="gramEnd"/>
      <w:r w:rsidRPr="00E50139">
        <w:rPr>
          <w:lang w:val="it-IT"/>
        </w:rPr>
        <w:t>, utilizzati come set di calibrazione, e la strategia è stata convalidata su altri 6 lotti indipendenti.</w:t>
      </w:r>
    </w:p>
    <w:p w14:paraId="048F5E3C" w14:textId="20E7AED8" w:rsidR="00F313E3" w:rsidRPr="00E50139" w:rsidRDefault="00F313E3" w:rsidP="00F313E3">
      <w:pPr>
        <w:pStyle w:val="AbstractBodyText"/>
        <w:spacing w:before="0"/>
        <w:rPr>
          <w:lang w:val="it-IT"/>
        </w:rPr>
      </w:pPr>
      <w:r w:rsidRPr="00A7100C">
        <w:rPr>
          <w:lang w:val="it-IT"/>
        </w:rPr>
        <w:t xml:space="preserve">Sui segnali raccolti, è stato eseguito un corretto pretrattamento dei dati e quindi, sono stati calcolati gli spettri di deviazione standard applicando una strategia </w:t>
      </w:r>
      <w:proofErr w:type="spellStart"/>
      <w:r w:rsidR="00A7100C" w:rsidRPr="00A7100C">
        <w:rPr>
          <w:lang w:val="it-IT"/>
        </w:rPr>
        <w:t>moving-block</w:t>
      </w:r>
      <w:proofErr w:type="spellEnd"/>
      <w:r w:rsidRPr="00A7100C">
        <w:rPr>
          <w:lang w:val="it-IT"/>
        </w:rPr>
        <w:t>. Dopo centraggio</w:t>
      </w:r>
      <w:r w:rsidR="00A7100C" w:rsidRPr="00A7100C">
        <w:rPr>
          <w:lang w:val="it-IT"/>
        </w:rPr>
        <w:t xml:space="preserve"> </w:t>
      </w:r>
      <w:r w:rsidR="00A7100C">
        <w:rPr>
          <w:lang w:val="it-IT"/>
        </w:rPr>
        <w:t>dei dati</w:t>
      </w:r>
      <w:r w:rsidRPr="00A7100C">
        <w:rPr>
          <w:lang w:val="it-IT"/>
        </w:rPr>
        <w:t>, l'analisi de</w:t>
      </w:r>
      <w:r w:rsidR="00A7100C">
        <w:rPr>
          <w:lang w:val="it-IT"/>
        </w:rPr>
        <w:t>lle</w:t>
      </w:r>
      <w:r w:rsidRPr="00A7100C">
        <w:rPr>
          <w:lang w:val="it-IT"/>
        </w:rPr>
        <w:t xml:space="preserve"> componenti principali (PCA) è stata applicata sui lotti di calibrazione e i lotti di convalida sono stati proiettati nello spazio definito dai due componenti principali di </w:t>
      </w:r>
      <w:r w:rsidR="00A7100C" w:rsidRPr="00A7100C">
        <w:rPr>
          <w:lang w:val="it-IT"/>
        </w:rPr>
        <w:t xml:space="preserve">più basso </w:t>
      </w:r>
      <w:r w:rsidRPr="00A7100C">
        <w:rPr>
          <w:lang w:val="it-IT"/>
        </w:rPr>
        <w:t xml:space="preserve">ordine. </w:t>
      </w:r>
      <w:r w:rsidR="00A7100C" w:rsidRPr="00A7100C">
        <w:rPr>
          <w:lang w:val="it-IT"/>
        </w:rPr>
        <w:t>L’</w:t>
      </w:r>
      <w:proofErr w:type="spellStart"/>
      <w:r w:rsidR="00A7100C" w:rsidRPr="00A7100C">
        <w:rPr>
          <w:i/>
          <w:iCs/>
          <w:lang w:val="it-IT"/>
        </w:rPr>
        <w:t>influence</w:t>
      </w:r>
      <w:proofErr w:type="spellEnd"/>
      <w:r w:rsidR="00A7100C" w:rsidRPr="00A7100C">
        <w:rPr>
          <w:i/>
          <w:iCs/>
          <w:lang w:val="it-IT"/>
        </w:rPr>
        <w:t xml:space="preserve"> plot</w:t>
      </w:r>
      <w:r w:rsidRPr="00A7100C">
        <w:rPr>
          <w:i/>
          <w:iCs/>
          <w:lang w:val="it-IT"/>
        </w:rPr>
        <w:t xml:space="preserve"> </w:t>
      </w:r>
      <w:r w:rsidRPr="00A7100C">
        <w:rPr>
          <w:lang w:val="it-IT"/>
        </w:rPr>
        <w:t>(T</w:t>
      </w:r>
      <w:r w:rsidRPr="00A7100C">
        <w:rPr>
          <w:vertAlign w:val="superscript"/>
          <w:lang w:val="it-IT"/>
        </w:rPr>
        <w:t>2</w:t>
      </w:r>
      <w:r w:rsidRPr="00A7100C">
        <w:rPr>
          <w:lang w:val="it-IT"/>
        </w:rPr>
        <w:t xml:space="preserve"> di </w:t>
      </w:r>
      <w:proofErr w:type="spellStart"/>
      <w:r w:rsidRPr="00A7100C">
        <w:rPr>
          <w:lang w:val="it-IT"/>
        </w:rPr>
        <w:t>Hotelling</w:t>
      </w:r>
      <w:proofErr w:type="spellEnd"/>
      <w:r w:rsidRPr="00A7100C">
        <w:rPr>
          <w:lang w:val="it-IT"/>
        </w:rPr>
        <w:t xml:space="preserve"> vs. Q </w:t>
      </w:r>
      <w:proofErr w:type="spellStart"/>
      <w:r w:rsidRPr="00A7100C">
        <w:rPr>
          <w:lang w:val="it-IT"/>
        </w:rPr>
        <w:t>residuals</w:t>
      </w:r>
      <w:proofErr w:type="spellEnd"/>
      <w:r w:rsidRPr="00A7100C">
        <w:rPr>
          <w:lang w:val="it-IT"/>
        </w:rPr>
        <w:t xml:space="preserve">) e i suoi confini statistici a un livello di confidenza del 95% sono stati implementati come </w:t>
      </w:r>
      <w:r w:rsidR="00A7100C">
        <w:rPr>
          <w:lang w:val="it-IT"/>
        </w:rPr>
        <w:t>una carta</w:t>
      </w:r>
      <w:r w:rsidRPr="00A7100C">
        <w:rPr>
          <w:lang w:val="it-IT"/>
        </w:rPr>
        <w:t xml:space="preserve"> di controllo multivariato, per il monitoraggio del comportamento dei nuovi lotti nello spazio ortogonale definito da</w:t>
      </w:r>
      <w:r w:rsidR="00A7100C">
        <w:rPr>
          <w:lang w:val="it-IT"/>
        </w:rPr>
        <w:t>lla</w:t>
      </w:r>
      <w:r w:rsidRPr="00A7100C">
        <w:rPr>
          <w:lang w:val="it-IT"/>
        </w:rPr>
        <w:t xml:space="preserve"> PCA. </w:t>
      </w:r>
      <w:r w:rsidRPr="00E50139">
        <w:rPr>
          <w:lang w:val="it-IT"/>
        </w:rPr>
        <w:t>Il criterio dell'</w:t>
      </w:r>
      <w:r w:rsidRPr="00E50139">
        <w:rPr>
          <w:i/>
          <w:iCs/>
          <w:lang w:val="it-IT"/>
        </w:rPr>
        <w:t>endpoint</w:t>
      </w:r>
      <w:r w:rsidRPr="00E50139">
        <w:rPr>
          <w:lang w:val="it-IT"/>
        </w:rPr>
        <w:t xml:space="preserve"> è stato definito dopo l'accettazione di 15 spettri consecutivi accettati dalla carta di controllo multivariata. Grazie all'approccio attuale, il tempo medio del processo è stato ridotto a 5 min. </w:t>
      </w:r>
    </w:p>
    <w:p w14:paraId="14C1F848" w14:textId="3AFA1646" w:rsidR="00C141DE" w:rsidRPr="00E50139" w:rsidRDefault="00F313E3" w:rsidP="00F313E3">
      <w:pPr>
        <w:pStyle w:val="AbstractBodyText"/>
        <w:spacing w:before="0"/>
        <w:rPr>
          <w:lang w:val="it-IT"/>
        </w:rPr>
      </w:pPr>
      <w:r w:rsidRPr="00E50139">
        <w:rPr>
          <w:lang w:val="it-IT"/>
        </w:rPr>
        <w:t xml:space="preserve">L'intera strategia è stata implementata in un software dedicato, chiamato NIRNova, sviluppato internamente con Matlab App Designer. Grazie a NIRNova, la produzione di </w:t>
      </w:r>
      <w:proofErr w:type="gramStart"/>
      <w:r w:rsidRPr="00E50139">
        <w:rPr>
          <w:lang w:val="it-IT"/>
        </w:rPr>
        <w:t>SE</w:t>
      </w:r>
      <w:proofErr w:type="gramEnd"/>
      <w:r w:rsidRPr="00E50139">
        <w:rPr>
          <w:lang w:val="it-IT"/>
        </w:rPr>
        <w:t xml:space="preserve"> viene ora monitorata in modo non distruttivo, con una definizione dell'</w:t>
      </w:r>
      <w:r w:rsidRPr="00E50139">
        <w:rPr>
          <w:i/>
          <w:iCs/>
          <w:lang w:val="it-IT"/>
        </w:rPr>
        <w:t>endpoint</w:t>
      </w:r>
      <w:r w:rsidRPr="00E50139">
        <w:rPr>
          <w:lang w:val="it-IT"/>
        </w:rPr>
        <w:t xml:space="preserve"> di processo per ogni singolo lotto. I test di uniformità hanno dimostrato che, nonostante la notevole riduzione dei tempi, il prodotto finale è correttamente miscelato.</w:t>
      </w:r>
    </w:p>
    <w:p w14:paraId="27355379" w14:textId="43D00CD8" w:rsidR="00DC6E85" w:rsidRPr="00E50139" w:rsidRDefault="00DC6E85" w:rsidP="00F313E3">
      <w:pPr>
        <w:pStyle w:val="AbstractBodyText"/>
        <w:spacing w:before="0"/>
        <w:rPr>
          <w:lang w:val="it-IT"/>
        </w:rPr>
      </w:pPr>
    </w:p>
    <w:p w14:paraId="1F8983AD" w14:textId="272892FE" w:rsidR="00DC6E85" w:rsidRPr="00DC6E85" w:rsidRDefault="00DC6E85" w:rsidP="00F313E3">
      <w:pPr>
        <w:pStyle w:val="AbstractBodyText"/>
        <w:spacing w:before="0"/>
        <w:rPr>
          <w:lang w:val="it-IT"/>
        </w:rPr>
      </w:pPr>
      <w:r w:rsidRPr="00DC6E85">
        <w:rPr>
          <w:b/>
          <w:lang w:val="it-IT"/>
        </w:rPr>
        <w:t xml:space="preserve">Keywords: </w:t>
      </w:r>
      <w:r w:rsidRPr="00DC6E85">
        <w:rPr>
          <w:lang w:val="it-IT"/>
        </w:rPr>
        <w:t xml:space="preserve">NIR miniaturizzato, fase di miscelazione, </w:t>
      </w:r>
      <w:r w:rsidRPr="00DC6E85">
        <w:rPr>
          <w:i/>
          <w:iCs/>
          <w:lang w:val="it-IT"/>
        </w:rPr>
        <w:t>endpoint</w:t>
      </w:r>
      <w:r w:rsidRPr="00DC6E85">
        <w:rPr>
          <w:lang w:val="it-IT"/>
        </w:rPr>
        <w:t xml:space="preserve"> di processo, moving-block-PCA.</w:t>
      </w:r>
    </w:p>
    <w:sectPr w:rsidR="00DC6E85" w:rsidRPr="00DC6E85"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9E47" w14:textId="77777777" w:rsidR="005A731A" w:rsidRDefault="005A731A">
      <w:r>
        <w:separator/>
      </w:r>
    </w:p>
  </w:endnote>
  <w:endnote w:type="continuationSeparator" w:id="0">
    <w:p w14:paraId="4D94E574" w14:textId="77777777" w:rsidR="005A731A" w:rsidRDefault="005A731A">
      <w:r>
        <w:continuationSeparator/>
      </w:r>
    </w:p>
  </w:endnote>
  <w:endnote w:type="continuationNotice" w:id="1">
    <w:p w14:paraId="22A99936" w14:textId="77777777" w:rsidR="005A731A" w:rsidRDefault="005A7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83A0" w14:textId="77777777" w:rsidR="005A731A" w:rsidRDefault="005A731A">
      <w:r>
        <w:separator/>
      </w:r>
    </w:p>
  </w:footnote>
  <w:footnote w:type="continuationSeparator" w:id="0">
    <w:p w14:paraId="33458E8A" w14:textId="77777777" w:rsidR="005A731A" w:rsidRDefault="005A731A">
      <w:r>
        <w:continuationSeparator/>
      </w:r>
    </w:p>
  </w:footnote>
  <w:footnote w:type="continuationNotice" w:id="1">
    <w:p w14:paraId="7B7866AC" w14:textId="77777777" w:rsidR="005A731A" w:rsidRDefault="005A7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1205755076">
    <w:abstractNumId w:val="0"/>
  </w:num>
  <w:num w:numId="2" w16cid:durableId="27337266">
    <w:abstractNumId w:val="1"/>
  </w:num>
  <w:num w:numId="3" w16cid:durableId="1476331831">
    <w:abstractNumId w:val="2"/>
  </w:num>
  <w:num w:numId="4" w16cid:durableId="2140567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C3C96"/>
    <w:rsid w:val="000E3EF9"/>
    <w:rsid w:val="001B10FA"/>
    <w:rsid w:val="00444124"/>
    <w:rsid w:val="00463F1B"/>
    <w:rsid w:val="00470C84"/>
    <w:rsid w:val="004D76A4"/>
    <w:rsid w:val="00574A27"/>
    <w:rsid w:val="005A731A"/>
    <w:rsid w:val="00611342"/>
    <w:rsid w:val="00631A80"/>
    <w:rsid w:val="00640719"/>
    <w:rsid w:val="00683EAB"/>
    <w:rsid w:val="006922BB"/>
    <w:rsid w:val="006A2C85"/>
    <w:rsid w:val="0071430C"/>
    <w:rsid w:val="00734F85"/>
    <w:rsid w:val="00751562"/>
    <w:rsid w:val="00817CCF"/>
    <w:rsid w:val="008846B7"/>
    <w:rsid w:val="009521C8"/>
    <w:rsid w:val="009A457F"/>
    <w:rsid w:val="009D7944"/>
    <w:rsid w:val="00A46E8D"/>
    <w:rsid w:val="00A7100C"/>
    <w:rsid w:val="00A91B1E"/>
    <w:rsid w:val="00AE280C"/>
    <w:rsid w:val="00B01496"/>
    <w:rsid w:val="00B57FD3"/>
    <w:rsid w:val="00B672C5"/>
    <w:rsid w:val="00BA24F7"/>
    <w:rsid w:val="00C141DE"/>
    <w:rsid w:val="00C20F91"/>
    <w:rsid w:val="00CA258B"/>
    <w:rsid w:val="00D52212"/>
    <w:rsid w:val="00D77527"/>
    <w:rsid w:val="00D77741"/>
    <w:rsid w:val="00DA008B"/>
    <w:rsid w:val="00DC6E85"/>
    <w:rsid w:val="00E47876"/>
    <w:rsid w:val="00E50139"/>
    <w:rsid w:val="00E93DD2"/>
    <w:rsid w:val="00F00CCE"/>
    <w:rsid w:val="00F142EC"/>
    <w:rsid w:val="00F14F3F"/>
    <w:rsid w:val="00F17B89"/>
    <w:rsid w:val="00F313E3"/>
    <w:rsid w:val="00F423B0"/>
    <w:rsid w:val="00F46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styleId="Menzionenonrisolta">
    <w:name w:val="Unresolved Mention"/>
    <w:basedOn w:val="Carpredefinitoparagrafo"/>
    <w:uiPriority w:val="99"/>
    <w:semiHidden/>
    <w:unhideWhenUsed/>
    <w:rsid w:val="00F1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920</Words>
  <Characters>5249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Monica Casale</cp:lastModifiedBy>
  <cp:revision>9</cp:revision>
  <cp:lastPrinted>2014-01-17T10:40:00Z</cp:lastPrinted>
  <dcterms:created xsi:type="dcterms:W3CDTF">2022-04-19T14:47:00Z</dcterms:created>
  <dcterms:modified xsi:type="dcterms:W3CDTF">2022-04-20T12:39:00Z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