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B02CE" w14:textId="7D42EA2B" w:rsidR="00C317F5" w:rsidRPr="007C1487" w:rsidRDefault="00C317F5" w:rsidP="005D3BC2">
      <w:pPr>
        <w:pStyle w:val="AbstractTitle"/>
        <w:spacing w:before="0"/>
        <w:rPr>
          <w:bCs/>
          <w:lang w:val="it-IT"/>
        </w:rPr>
      </w:pPr>
      <w:r w:rsidRPr="007C1487">
        <w:rPr>
          <w:lang w:val="it-IT"/>
        </w:rPr>
        <w:t xml:space="preserve">Smart-HAND: </w:t>
      </w:r>
      <w:r w:rsidR="007C1487" w:rsidRPr="007C1487">
        <w:rPr>
          <w:lang w:val="it-IT"/>
        </w:rPr>
        <w:t xml:space="preserve">un prototipo </w:t>
      </w:r>
      <w:r w:rsidR="007C1487">
        <w:rPr>
          <w:lang w:val="it-IT"/>
        </w:rPr>
        <w:t xml:space="preserve">portatile </w:t>
      </w:r>
      <w:r w:rsidR="00426EF9">
        <w:rPr>
          <w:lang w:val="it-IT"/>
        </w:rPr>
        <w:t xml:space="preserve">e basso costo </w:t>
      </w:r>
      <w:r w:rsidR="002C2120">
        <w:rPr>
          <w:lang w:val="it-IT"/>
        </w:rPr>
        <w:t>per</w:t>
      </w:r>
      <w:r w:rsidR="002C2120" w:rsidRPr="007C1487">
        <w:rPr>
          <w:lang w:val="it-IT"/>
        </w:rPr>
        <w:t xml:space="preserve"> la misurazione di parametri qualitativi</w:t>
      </w:r>
      <w:r w:rsidR="002C2120">
        <w:rPr>
          <w:lang w:val="it-IT"/>
        </w:rPr>
        <w:t xml:space="preserve"> </w:t>
      </w:r>
      <w:r w:rsidR="009334C3">
        <w:rPr>
          <w:lang w:val="it-IT"/>
        </w:rPr>
        <w:t>della frutta ne</w:t>
      </w:r>
      <w:r w:rsidR="002C2120">
        <w:rPr>
          <w:lang w:val="it-IT"/>
        </w:rPr>
        <w:t xml:space="preserve">l </w:t>
      </w:r>
      <w:r w:rsidR="007C1487" w:rsidRPr="007C1487">
        <w:rPr>
          <w:lang w:val="it-IT"/>
        </w:rPr>
        <w:t>visibile</w:t>
      </w:r>
      <w:r w:rsidR="002C2120">
        <w:rPr>
          <w:lang w:val="it-IT"/>
        </w:rPr>
        <w:t xml:space="preserve"> e </w:t>
      </w:r>
      <w:r w:rsidR="007C1487" w:rsidRPr="007C1487">
        <w:rPr>
          <w:lang w:val="it-IT"/>
        </w:rPr>
        <w:t>vicino infrarosso</w:t>
      </w:r>
    </w:p>
    <w:p w14:paraId="27177CCB" w14:textId="77777777" w:rsidR="00C317F5" w:rsidRPr="007C1487" w:rsidRDefault="00C317F5" w:rsidP="00C317F5">
      <w:pPr>
        <w:pStyle w:val="Author"/>
        <w:spacing w:before="0"/>
        <w:rPr>
          <w:lang w:val="it-IT"/>
        </w:rPr>
      </w:pPr>
    </w:p>
    <w:p w14:paraId="298F4CE6" w14:textId="3CFBD060" w:rsidR="000D21CF" w:rsidRPr="00CE6150" w:rsidRDefault="000D21CF" w:rsidP="000D21CF">
      <w:pPr>
        <w:pStyle w:val="Author"/>
        <w:spacing w:before="0"/>
        <w:rPr>
          <w:b w:val="0"/>
          <w:vertAlign w:val="superscript"/>
          <w:lang w:val="it-IT"/>
        </w:rPr>
      </w:pPr>
      <w:r>
        <w:rPr>
          <w:lang w:val="it-IT"/>
        </w:rPr>
        <w:t xml:space="preserve">Sara </w:t>
      </w:r>
      <w:r w:rsidRPr="00891F97">
        <w:rPr>
          <w:lang w:val="it-IT"/>
        </w:rPr>
        <w:t>Vignati</w:t>
      </w:r>
      <w:r w:rsidRPr="00891F97">
        <w:rPr>
          <w:b w:val="0"/>
          <w:vertAlign w:val="superscript"/>
          <w:lang w:val="it-IT"/>
        </w:rPr>
        <w:t xml:space="preserve"> 1*</w:t>
      </w:r>
      <w:r w:rsidRPr="00891F97">
        <w:rPr>
          <w:lang w:val="it-IT"/>
        </w:rPr>
        <w:t xml:space="preserve">, </w:t>
      </w:r>
      <w:r>
        <w:rPr>
          <w:lang w:val="it-IT"/>
        </w:rPr>
        <w:t xml:space="preserve">Alessia </w:t>
      </w:r>
      <w:r w:rsidRPr="00891F97">
        <w:rPr>
          <w:lang w:val="it-IT"/>
        </w:rPr>
        <w:t>Pampuri</w:t>
      </w:r>
      <w:r w:rsidRPr="00891F97">
        <w:rPr>
          <w:b w:val="0"/>
          <w:vertAlign w:val="superscript"/>
          <w:lang w:val="it-IT"/>
        </w:rPr>
        <w:t>1</w:t>
      </w:r>
      <w:r w:rsidRPr="00891F97">
        <w:rPr>
          <w:lang w:val="it-IT"/>
        </w:rPr>
        <w:t xml:space="preserve">, </w:t>
      </w:r>
      <w:r>
        <w:rPr>
          <w:lang w:val="it-IT"/>
        </w:rPr>
        <w:t xml:space="preserve">Alessio </w:t>
      </w:r>
      <w:r w:rsidRPr="00891F97">
        <w:rPr>
          <w:lang w:val="it-IT"/>
        </w:rPr>
        <w:t>Tugnolo</w:t>
      </w:r>
      <w:r w:rsidRPr="00891F97">
        <w:rPr>
          <w:b w:val="0"/>
          <w:vertAlign w:val="superscript"/>
          <w:lang w:val="it-IT"/>
        </w:rPr>
        <w:t>1</w:t>
      </w:r>
      <w:r w:rsidRPr="00891F97">
        <w:rPr>
          <w:lang w:val="it-IT"/>
        </w:rPr>
        <w:t xml:space="preserve">, </w:t>
      </w:r>
      <w:r>
        <w:rPr>
          <w:lang w:val="it-IT"/>
        </w:rPr>
        <w:t xml:space="preserve">Valentina </w:t>
      </w:r>
      <w:r w:rsidRPr="00891F97">
        <w:rPr>
          <w:lang w:val="it-IT"/>
        </w:rPr>
        <w:t>Giovenzana</w:t>
      </w:r>
      <w:r w:rsidRPr="00891F97">
        <w:rPr>
          <w:b w:val="0"/>
          <w:vertAlign w:val="superscript"/>
          <w:lang w:val="it-IT"/>
        </w:rPr>
        <w:t>1</w:t>
      </w:r>
      <w:r w:rsidRPr="00891F97">
        <w:rPr>
          <w:lang w:val="it-IT"/>
        </w:rPr>
        <w:t xml:space="preserve">, </w:t>
      </w:r>
      <w:r>
        <w:rPr>
          <w:lang w:val="it-IT"/>
        </w:rPr>
        <w:t xml:space="preserve">Andrea </w:t>
      </w:r>
      <w:r w:rsidRPr="00891F97">
        <w:rPr>
          <w:lang w:val="it-IT"/>
        </w:rPr>
        <w:t>Casson</w:t>
      </w:r>
      <w:r w:rsidRPr="00891F97">
        <w:rPr>
          <w:b w:val="0"/>
          <w:vertAlign w:val="superscript"/>
          <w:lang w:val="it-IT"/>
        </w:rPr>
        <w:t>1</w:t>
      </w:r>
      <w:r w:rsidRPr="00891F97">
        <w:rPr>
          <w:lang w:val="it-IT"/>
        </w:rPr>
        <w:t xml:space="preserve">, </w:t>
      </w:r>
      <w:r>
        <w:rPr>
          <w:lang w:val="it-IT"/>
        </w:rPr>
        <w:t xml:space="preserve">Martina </w:t>
      </w:r>
      <w:r w:rsidRPr="00891F97">
        <w:rPr>
          <w:lang w:val="it-IT"/>
        </w:rPr>
        <w:t>Zambelli</w:t>
      </w:r>
      <w:r w:rsidRPr="00891F97">
        <w:rPr>
          <w:b w:val="0"/>
          <w:vertAlign w:val="superscript"/>
          <w:lang w:val="it-IT"/>
        </w:rPr>
        <w:t>1</w:t>
      </w:r>
      <w:r w:rsidRPr="00891F97">
        <w:rPr>
          <w:lang w:val="it-IT"/>
        </w:rPr>
        <w:t xml:space="preserve">, </w:t>
      </w:r>
      <w:r>
        <w:rPr>
          <w:lang w:val="it-IT"/>
        </w:rPr>
        <w:t xml:space="preserve">Riccardo </w:t>
      </w:r>
      <w:r w:rsidRPr="00891F97">
        <w:rPr>
          <w:lang w:val="it-IT"/>
        </w:rPr>
        <w:t>Guidetti</w:t>
      </w:r>
      <w:r w:rsidRPr="00891F97">
        <w:rPr>
          <w:b w:val="0"/>
          <w:vertAlign w:val="superscript"/>
          <w:lang w:val="it-IT"/>
        </w:rPr>
        <w:t>1</w:t>
      </w:r>
      <w:r w:rsidR="001B348D">
        <w:rPr>
          <w:lang w:val="it-IT"/>
        </w:rPr>
        <w:t xml:space="preserve">, Roberto </w:t>
      </w:r>
      <w:r w:rsidR="001B348D" w:rsidRPr="00891F97">
        <w:rPr>
          <w:lang w:val="it-IT"/>
        </w:rPr>
        <w:t>Beghi</w:t>
      </w:r>
      <w:r w:rsidR="001B348D" w:rsidRPr="00891F97">
        <w:rPr>
          <w:b w:val="0"/>
          <w:vertAlign w:val="superscript"/>
          <w:lang w:val="it-IT"/>
        </w:rPr>
        <w:t>1</w:t>
      </w:r>
    </w:p>
    <w:p w14:paraId="7985E779" w14:textId="2E8653A9" w:rsidR="000D21CF" w:rsidRDefault="000D21CF" w:rsidP="000D21CF">
      <w:pPr>
        <w:jc w:val="center"/>
        <w:rPr>
          <w:lang w:val="it-IT"/>
        </w:rPr>
      </w:pPr>
      <w:r>
        <w:rPr>
          <w:b/>
          <w:vertAlign w:val="superscript"/>
          <w:lang w:val="it-IT"/>
        </w:rPr>
        <w:t xml:space="preserve">1 </w:t>
      </w:r>
      <w:r w:rsidRPr="00FB7D86">
        <w:rPr>
          <w:lang w:val="it-IT"/>
        </w:rPr>
        <w:t>Dipartimento di</w:t>
      </w:r>
      <w:r>
        <w:rPr>
          <w:lang w:val="it-IT"/>
        </w:rPr>
        <w:t xml:space="preserve"> Scienze Agrarie e Ambientali – Produzione, Territorio, Agroenergia</w:t>
      </w:r>
      <w:r w:rsidRPr="00FB7D86">
        <w:rPr>
          <w:lang w:val="it-IT"/>
        </w:rPr>
        <w:t xml:space="preserve">, Università degli Studi di Milano, </w:t>
      </w:r>
      <w:r>
        <w:rPr>
          <w:lang w:val="it-IT"/>
        </w:rPr>
        <w:t>V</w:t>
      </w:r>
      <w:r w:rsidRPr="00FB7D86">
        <w:rPr>
          <w:lang w:val="it-IT"/>
        </w:rPr>
        <w:t>ia Celoria 2, 20133, Milano, Ital</w:t>
      </w:r>
      <w:r w:rsidR="002E5570">
        <w:rPr>
          <w:lang w:val="it-IT"/>
        </w:rPr>
        <w:t>ia</w:t>
      </w:r>
    </w:p>
    <w:p w14:paraId="210DF795" w14:textId="77777777" w:rsidR="000D21CF" w:rsidRPr="00CA258B" w:rsidRDefault="000D21CF" w:rsidP="000D21CF">
      <w:pPr>
        <w:pStyle w:val="Affiliation"/>
        <w:spacing w:before="0"/>
        <w:rPr>
          <w:lang w:val="en-GB"/>
        </w:rPr>
      </w:pPr>
      <w:r w:rsidRPr="00CA258B">
        <w:rPr>
          <w:lang w:val="en-GB"/>
        </w:rPr>
        <w:t>*</w:t>
      </w:r>
      <w:r w:rsidRPr="00891F97">
        <w:rPr>
          <w:lang w:val="en-GB"/>
        </w:rPr>
        <w:t xml:space="preserve">Corresponding author: </w:t>
      </w:r>
      <w:r>
        <w:rPr>
          <w:lang w:val="en-GB"/>
        </w:rPr>
        <w:t>sara.vignati</w:t>
      </w:r>
      <w:r w:rsidRPr="00891F97">
        <w:rPr>
          <w:lang w:val="en-GB"/>
        </w:rPr>
        <w:t>@unimi.it</w:t>
      </w:r>
    </w:p>
    <w:p w14:paraId="02409B79" w14:textId="0D3798ED" w:rsidR="00CF3404" w:rsidRDefault="0064544A" w:rsidP="002C6B3D">
      <w:pPr>
        <w:pStyle w:val="AbstractBodyText"/>
        <w:rPr>
          <w:lang w:val="it-IT"/>
        </w:rPr>
      </w:pPr>
      <w:r>
        <w:rPr>
          <w:lang w:val="it-IT"/>
        </w:rPr>
        <w:t>Attualmente</w:t>
      </w:r>
      <w:r w:rsidRPr="0064544A">
        <w:rPr>
          <w:lang w:val="it-IT"/>
        </w:rPr>
        <w:t xml:space="preserve">, il controllo della fase di maturazione e della qualità dei frutti è diventato fondamentale per ottenere un prodotto finito di alta qualità. </w:t>
      </w:r>
      <w:r w:rsidR="00D63B9F">
        <w:rPr>
          <w:lang w:val="it-IT"/>
        </w:rPr>
        <w:t xml:space="preserve">Generalmente, le analisi relative al grado di maturazione e </w:t>
      </w:r>
      <w:r w:rsidR="00B42491">
        <w:rPr>
          <w:lang w:val="it-IT"/>
        </w:rPr>
        <w:t xml:space="preserve">alla qualità </w:t>
      </w:r>
      <w:r w:rsidRPr="0064544A">
        <w:rPr>
          <w:lang w:val="it-IT"/>
        </w:rPr>
        <w:t xml:space="preserve">sono distruttive, soggettive, dispendiose in termini di tempo e </w:t>
      </w:r>
      <w:r w:rsidR="00B42491">
        <w:rPr>
          <w:lang w:val="it-IT"/>
        </w:rPr>
        <w:t>non sostenibili,</w:t>
      </w:r>
      <w:r w:rsidRPr="0064544A">
        <w:rPr>
          <w:lang w:val="it-IT"/>
        </w:rPr>
        <w:t xml:space="preserve"> perché richiedono </w:t>
      </w:r>
      <w:r w:rsidR="00B42491">
        <w:rPr>
          <w:lang w:val="it-IT"/>
        </w:rPr>
        <w:t>l’utilizzo</w:t>
      </w:r>
      <w:r w:rsidRPr="0064544A">
        <w:rPr>
          <w:lang w:val="it-IT"/>
        </w:rPr>
        <w:t xml:space="preserve"> di </w:t>
      </w:r>
      <w:r w:rsidR="00B50773">
        <w:rPr>
          <w:lang w:val="it-IT"/>
        </w:rPr>
        <w:t>reagenti</w:t>
      </w:r>
      <w:r w:rsidRPr="0064544A">
        <w:rPr>
          <w:lang w:val="it-IT"/>
        </w:rPr>
        <w:t xml:space="preserve"> chimici e </w:t>
      </w:r>
      <w:r w:rsidR="00B50773">
        <w:rPr>
          <w:lang w:val="it-IT"/>
        </w:rPr>
        <w:t xml:space="preserve">la preparazione dei </w:t>
      </w:r>
      <w:r w:rsidRPr="0064544A">
        <w:rPr>
          <w:lang w:val="it-IT"/>
        </w:rPr>
        <w:t xml:space="preserve">campioni. </w:t>
      </w:r>
      <w:r w:rsidR="007D2247">
        <w:rPr>
          <w:lang w:val="it-IT"/>
        </w:rPr>
        <w:t>I metodi attualmente utilizzati sono le</w:t>
      </w:r>
      <w:r w:rsidR="00B50773">
        <w:rPr>
          <w:lang w:val="it-IT"/>
        </w:rPr>
        <w:t xml:space="preserve"> a</w:t>
      </w:r>
      <w:r w:rsidRPr="0064544A">
        <w:rPr>
          <w:lang w:val="it-IT"/>
        </w:rPr>
        <w:t xml:space="preserve">nalisi chimiche e </w:t>
      </w:r>
      <w:r w:rsidR="007D2247">
        <w:rPr>
          <w:lang w:val="it-IT"/>
        </w:rPr>
        <w:t xml:space="preserve">le </w:t>
      </w:r>
      <w:r w:rsidRPr="0064544A">
        <w:rPr>
          <w:lang w:val="it-IT"/>
        </w:rPr>
        <w:t>valutazioni visive basate sulle capacità dell</w:t>
      </w:r>
      <w:r w:rsidR="007D2247">
        <w:rPr>
          <w:lang w:val="it-IT"/>
        </w:rPr>
        <w:t>’</w:t>
      </w:r>
      <w:r w:rsidRPr="0064544A">
        <w:rPr>
          <w:lang w:val="it-IT"/>
        </w:rPr>
        <w:t xml:space="preserve">operatore. </w:t>
      </w:r>
      <w:r w:rsidR="007D2247">
        <w:rPr>
          <w:lang w:val="it-IT"/>
        </w:rPr>
        <w:t>Dall’altro lato</w:t>
      </w:r>
      <w:r w:rsidRPr="0064544A">
        <w:rPr>
          <w:lang w:val="it-IT"/>
        </w:rPr>
        <w:t xml:space="preserve">, le tecnologie </w:t>
      </w:r>
      <w:r w:rsidR="00C46101">
        <w:rPr>
          <w:lang w:val="it-IT"/>
        </w:rPr>
        <w:t>ottiche</w:t>
      </w:r>
      <w:r w:rsidRPr="0064544A">
        <w:rPr>
          <w:lang w:val="it-IT"/>
        </w:rPr>
        <w:t xml:space="preserve"> sono </w:t>
      </w:r>
      <w:r w:rsidR="00453619">
        <w:rPr>
          <w:lang w:val="it-IT"/>
        </w:rPr>
        <w:t>una valida alternativa</w:t>
      </w:r>
      <w:r w:rsidRPr="0064544A">
        <w:rPr>
          <w:lang w:val="it-IT"/>
        </w:rPr>
        <w:t xml:space="preserve">, in quanto </w:t>
      </w:r>
      <w:r w:rsidR="00453619">
        <w:rPr>
          <w:lang w:val="it-IT"/>
        </w:rPr>
        <w:t xml:space="preserve">sono </w:t>
      </w:r>
      <w:r w:rsidRPr="0064544A">
        <w:rPr>
          <w:lang w:val="it-IT"/>
        </w:rPr>
        <w:t xml:space="preserve">non distruttive, rapide e obiettive. Tuttavia, gli spettrofotometri disponibili e commerciali sono strumenti molto costosi e non possono essere utilizzati per </w:t>
      </w:r>
      <w:r w:rsidR="00801094">
        <w:rPr>
          <w:lang w:val="it-IT"/>
        </w:rPr>
        <w:t xml:space="preserve">le </w:t>
      </w:r>
      <w:r w:rsidRPr="0064544A">
        <w:rPr>
          <w:lang w:val="it-IT"/>
        </w:rPr>
        <w:t xml:space="preserve">misurazioni </w:t>
      </w:r>
      <w:r w:rsidR="00801094">
        <w:rPr>
          <w:lang w:val="it-IT"/>
        </w:rPr>
        <w:t>in</w:t>
      </w:r>
      <w:r w:rsidRPr="0064544A">
        <w:rPr>
          <w:lang w:val="it-IT"/>
        </w:rPr>
        <w:t xml:space="preserve"> </w:t>
      </w:r>
      <w:r w:rsidR="00801094">
        <w:rPr>
          <w:lang w:val="it-IT"/>
        </w:rPr>
        <w:t xml:space="preserve">condizioni di </w:t>
      </w:r>
      <w:r w:rsidRPr="0064544A">
        <w:rPr>
          <w:lang w:val="it-IT"/>
        </w:rPr>
        <w:t xml:space="preserve">campo. Di conseguenza, </w:t>
      </w:r>
      <w:r w:rsidR="00E73953">
        <w:rPr>
          <w:lang w:val="it-IT"/>
        </w:rPr>
        <w:t>la ricerca si sta interessando</w:t>
      </w:r>
      <w:r w:rsidR="00557C02">
        <w:rPr>
          <w:lang w:val="it-IT"/>
        </w:rPr>
        <w:t xml:space="preserve"> allo</w:t>
      </w:r>
      <w:r w:rsidRPr="0064544A">
        <w:rPr>
          <w:lang w:val="it-IT"/>
        </w:rPr>
        <w:t xml:space="preserve"> sviluppo di dispositivi portatili, semplici e di facile utilizzo, in grado di mantenere anche </w:t>
      </w:r>
      <w:r w:rsidR="00466A75">
        <w:rPr>
          <w:lang w:val="it-IT"/>
        </w:rPr>
        <w:t>buone</w:t>
      </w:r>
      <w:r w:rsidRPr="0064544A">
        <w:rPr>
          <w:lang w:val="it-IT"/>
        </w:rPr>
        <w:t xml:space="preserve"> prestazioni </w:t>
      </w:r>
      <w:r w:rsidR="00773B2E">
        <w:rPr>
          <w:lang w:val="it-IT"/>
        </w:rPr>
        <w:t xml:space="preserve">comparabili con </w:t>
      </w:r>
      <w:r w:rsidRPr="0064544A">
        <w:rPr>
          <w:lang w:val="it-IT"/>
        </w:rPr>
        <w:t>gli strumenti da banco.</w:t>
      </w:r>
      <w:r w:rsidR="002C6B3D">
        <w:rPr>
          <w:lang w:val="it-IT"/>
        </w:rPr>
        <w:t xml:space="preserve"> </w:t>
      </w:r>
      <w:r w:rsidR="00CF3404" w:rsidRPr="00CF3404">
        <w:rPr>
          <w:lang w:val="it-IT"/>
        </w:rPr>
        <w:t xml:space="preserve">Smart-HAND (Smart Handheld Analyzer Non Destructive) è un prototipo ottico a basso costo </w:t>
      </w:r>
      <w:r w:rsidR="00CF3404">
        <w:rPr>
          <w:lang w:val="it-IT"/>
        </w:rPr>
        <w:t xml:space="preserve">che lavora nello spettro </w:t>
      </w:r>
      <w:r w:rsidR="00413CE9">
        <w:rPr>
          <w:lang w:val="it-IT"/>
        </w:rPr>
        <w:t xml:space="preserve">del </w:t>
      </w:r>
      <w:r w:rsidR="00CF3404" w:rsidRPr="00CF3404">
        <w:rPr>
          <w:lang w:val="it-IT"/>
        </w:rPr>
        <w:t>visibile</w:t>
      </w:r>
      <w:r w:rsidR="00413CE9">
        <w:rPr>
          <w:lang w:val="it-IT"/>
        </w:rPr>
        <w:t>-</w:t>
      </w:r>
      <w:r w:rsidR="00CF3404" w:rsidRPr="00CF3404">
        <w:rPr>
          <w:lang w:val="it-IT"/>
        </w:rPr>
        <w:t>vicino infrarosso</w:t>
      </w:r>
      <w:r w:rsidR="00413CE9">
        <w:rPr>
          <w:lang w:val="it-IT"/>
        </w:rPr>
        <w:t xml:space="preserve"> ed </w:t>
      </w:r>
      <w:r w:rsidR="00191552">
        <w:rPr>
          <w:lang w:val="it-IT"/>
        </w:rPr>
        <w:t xml:space="preserve">è </w:t>
      </w:r>
      <w:r w:rsidR="00CF3404" w:rsidRPr="00CF3404">
        <w:rPr>
          <w:lang w:val="it-IT"/>
        </w:rPr>
        <w:t xml:space="preserve">composto da fotodiodi, filtri </w:t>
      </w:r>
      <w:r w:rsidR="00CE014C">
        <w:rPr>
          <w:lang w:val="it-IT"/>
        </w:rPr>
        <w:t>ottici</w:t>
      </w:r>
      <w:r w:rsidR="00CF3404" w:rsidRPr="00CF3404">
        <w:rPr>
          <w:lang w:val="it-IT"/>
        </w:rPr>
        <w:t>,</w:t>
      </w:r>
      <w:r w:rsidR="00287B2D">
        <w:rPr>
          <w:lang w:val="it-IT"/>
        </w:rPr>
        <w:t xml:space="preserve"> </w:t>
      </w:r>
      <w:r w:rsidR="00CF3404" w:rsidRPr="00CF3404">
        <w:rPr>
          <w:lang w:val="it-IT"/>
        </w:rPr>
        <w:t>LED,</w:t>
      </w:r>
      <w:r w:rsidR="00CE014C">
        <w:rPr>
          <w:lang w:val="it-IT"/>
        </w:rPr>
        <w:t xml:space="preserve"> </w:t>
      </w:r>
      <w:r w:rsidR="00CF3404" w:rsidRPr="00CF3404">
        <w:rPr>
          <w:lang w:val="it-IT"/>
        </w:rPr>
        <w:t xml:space="preserve">incorpora </w:t>
      </w:r>
      <w:r w:rsidR="00014F1E">
        <w:rPr>
          <w:lang w:val="it-IT"/>
        </w:rPr>
        <w:t>hardware mi</w:t>
      </w:r>
      <w:r w:rsidR="003336A0">
        <w:rPr>
          <w:lang w:val="it-IT"/>
        </w:rPr>
        <w:t>ni</w:t>
      </w:r>
      <w:r w:rsidR="00014F1E">
        <w:rPr>
          <w:lang w:val="it-IT"/>
        </w:rPr>
        <w:t>a</w:t>
      </w:r>
      <w:r w:rsidR="00692685">
        <w:rPr>
          <w:lang w:val="it-IT"/>
        </w:rPr>
        <w:t>turizzato di controllo e</w:t>
      </w:r>
      <w:r w:rsidR="00BB157A">
        <w:rPr>
          <w:lang w:val="it-IT"/>
        </w:rPr>
        <w:t xml:space="preserve">d </w:t>
      </w:r>
      <w:r w:rsidR="00897032">
        <w:rPr>
          <w:lang w:val="it-IT"/>
        </w:rPr>
        <w:t xml:space="preserve">è </w:t>
      </w:r>
      <w:r w:rsidR="00CF3404" w:rsidRPr="00CF3404">
        <w:rPr>
          <w:lang w:val="it-IT"/>
        </w:rPr>
        <w:t>dotat</w:t>
      </w:r>
      <w:r w:rsidR="00554664">
        <w:rPr>
          <w:lang w:val="it-IT"/>
        </w:rPr>
        <w:t>o</w:t>
      </w:r>
      <w:r w:rsidR="00CF3404" w:rsidRPr="00CF3404">
        <w:rPr>
          <w:lang w:val="it-IT"/>
        </w:rPr>
        <w:t xml:space="preserve"> di</w:t>
      </w:r>
      <w:r w:rsidR="00854F84">
        <w:rPr>
          <w:lang w:val="it-IT"/>
        </w:rPr>
        <w:t xml:space="preserve"> sensori digitali a</w:t>
      </w:r>
      <w:r w:rsidR="00CF3404" w:rsidRPr="00CF3404">
        <w:rPr>
          <w:lang w:val="it-IT"/>
        </w:rPr>
        <w:t xml:space="preserve"> </w:t>
      </w:r>
      <w:proofErr w:type="gramStart"/>
      <w:r w:rsidR="00CF3404" w:rsidRPr="00CF3404">
        <w:rPr>
          <w:lang w:val="it-IT"/>
        </w:rPr>
        <w:t>6</w:t>
      </w:r>
      <w:proofErr w:type="gramEnd"/>
      <w:r w:rsidR="00CF3404" w:rsidRPr="00CF3404">
        <w:rPr>
          <w:lang w:val="it-IT"/>
        </w:rPr>
        <w:t xml:space="preserve"> </w:t>
      </w:r>
      <w:r w:rsidR="009F54C9">
        <w:rPr>
          <w:lang w:val="it-IT"/>
        </w:rPr>
        <w:t xml:space="preserve">canali </w:t>
      </w:r>
      <w:r w:rsidR="00CF3404" w:rsidRPr="00CF3404">
        <w:rPr>
          <w:lang w:val="it-IT"/>
        </w:rPr>
        <w:t>ciascuno. Il sensore Vis misura a 450, 500, 550, 570, 600 e 650 nm</w:t>
      </w:r>
      <w:r w:rsidR="00854F84">
        <w:rPr>
          <w:lang w:val="it-IT"/>
        </w:rPr>
        <w:t>, mentre</w:t>
      </w:r>
      <w:r w:rsidR="00CF3404" w:rsidRPr="00CF3404">
        <w:rPr>
          <w:lang w:val="it-IT"/>
        </w:rPr>
        <w:t xml:space="preserve"> il sensore SW-NIR ottiene informazioni ottiche a 610, 680, 730, 760, 810 e 860 nm.</w:t>
      </w:r>
      <w:r w:rsidR="00854F84">
        <w:rPr>
          <w:lang w:val="it-IT"/>
        </w:rPr>
        <w:t xml:space="preserve"> </w:t>
      </w:r>
      <w:r w:rsidR="00CF3404" w:rsidRPr="00CF3404">
        <w:rPr>
          <w:lang w:val="it-IT"/>
        </w:rPr>
        <w:t xml:space="preserve">Il dispositivo è stato utilizzato per valutare le caratteristiche qualitative </w:t>
      </w:r>
      <w:r w:rsidR="00C4732A">
        <w:rPr>
          <w:lang w:val="it-IT"/>
        </w:rPr>
        <w:t xml:space="preserve">e di maturazione </w:t>
      </w:r>
      <w:r w:rsidR="00CF3404" w:rsidRPr="00CF3404">
        <w:rPr>
          <w:lang w:val="it-IT"/>
        </w:rPr>
        <w:t xml:space="preserve">di </w:t>
      </w:r>
      <w:r w:rsidR="00CF3404" w:rsidRPr="00D22068">
        <w:rPr>
          <w:lang w:val="it-IT"/>
        </w:rPr>
        <w:t>oliv</w:t>
      </w:r>
      <w:r w:rsidR="00D22068">
        <w:rPr>
          <w:lang w:val="it-IT"/>
        </w:rPr>
        <w:t>e</w:t>
      </w:r>
      <w:r w:rsidR="00CF3404" w:rsidRPr="00CF3404">
        <w:rPr>
          <w:lang w:val="it-IT"/>
        </w:rPr>
        <w:t xml:space="preserve"> e di uve utilizzando dati spettroscopici e modelli predittivi (es. PLS – </w:t>
      </w:r>
      <w:proofErr w:type="spellStart"/>
      <w:r w:rsidR="00CF3404" w:rsidRPr="00CF3404">
        <w:rPr>
          <w:lang w:val="it-IT"/>
        </w:rPr>
        <w:t>Partial</w:t>
      </w:r>
      <w:proofErr w:type="spellEnd"/>
      <w:r w:rsidR="00CF3404" w:rsidRPr="00CF3404">
        <w:rPr>
          <w:lang w:val="it-IT"/>
        </w:rPr>
        <w:t xml:space="preserve"> </w:t>
      </w:r>
      <w:proofErr w:type="spellStart"/>
      <w:r w:rsidR="00CF3404" w:rsidRPr="00CF3404">
        <w:rPr>
          <w:lang w:val="it-IT"/>
        </w:rPr>
        <w:t>Least</w:t>
      </w:r>
      <w:proofErr w:type="spellEnd"/>
      <w:r w:rsidR="00CF3404" w:rsidRPr="00CF3404">
        <w:rPr>
          <w:lang w:val="it-IT"/>
        </w:rPr>
        <w:t xml:space="preserve"> </w:t>
      </w:r>
      <w:proofErr w:type="spellStart"/>
      <w:r w:rsidR="00CF3404" w:rsidRPr="00CF3404">
        <w:rPr>
          <w:lang w:val="it-IT"/>
        </w:rPr>
        <w:t>Square</w:t>
      </w:r>
      <w:proofErr w:type="spellEnd"/>
      <w:r w:rsidR="00CF3404" w:rsidRPr="00CF3404">
        <w:rPr>
          <w:lang w:val="it-IT"/>
        </w:rPr>
        <w:t xml:space="preserve">). In entrambe le applicazioni, i risultati hanno mostrato che il prototipo ottico può fornire informazioni utili relative alla qualità della frutta. Ulteriori studi possono migliorare </w:t>
      </w:r>
      <w:r w:rsidR="00A05FDE">
        <w:rPr>
          <w:lang w:val="it-IT"/>
        </w:rPr>
        <w:t xml:space="preserve">lo sviluppo del prototipo (TRL) e </w:t>
      </w:r>
      <w:r w:rsidR="00CF3404" w:rsidRPr="00CF3404">
        <w:rPr>
          <w:lang w:val="it-IT"/>
        </w:rPr>
        <w:t>la capacità predittiva dei modelli al fine di supportare</w:t>
      </w:r>
      <w:r w:rsidR="002C6B3D">
        <w:rPr>
          <w:lang w:val="it-IT"/>
        </w:rPr>
        <w:t xml:space="preserve"> le</w:t>
      </w:r>
      <w:r w:rsidR="00CF3404" w:rsidRPr="00CF3404">
        <w:rPr>
          <w:lang w:val="it-IT"/>
        </w:rPr>
        <w:t xml:space="preserve"> analisi distruttive fino </w:t>
      </w:r>
      <w:r w:rsidR="002C6B3D">
        <w:rPr>
          <w:lang w:val="it-IT"/>
        </w:rPr>
        <w:t>a sostituirle</w:t>
      </w:r>
      <w:r w:rsidR="00CF3404" w:rsidRPr="00CF3404">
        <w:rPr>
          <w:lang w:val="it-IT"/>
        </w:rPr>
        <w:t>.</w:t>
      </w:r>
    </w:p>
    <w:p w14:paraId="4E732E4E" w14:textId="6605AF65" w:rsidR="000D21CF" w:rsidRPr="0064544A" w:rsidRDefault="000D21CF" w:rsidP="002C6B3D">
      <w:pPr>
        <w:pStyle w:val="AbstractBodyText"/>
        <w:rPr>
          <w:lang w:val="it-IT"/>
        </w:rPr>
      </w:pPr>
      <w:r w:rsidRPr="000A78E1">
        <w:rPr>
          <w:b/>
          <w:lang w:val="it-IT"/>
        </w:rPr>
        <w:t xml:space="preserve">Keywords: </w:t>
      </w:r>
      <w:r w:rsidRPr="000A78E1">
        <w:rPr>
          <w:bCs/>
          <w:lang w:val="it-IT"/>
        </w:rPr>
        <w:t xml:space="preserve">strumento portatile, </w:t>
      </w:r>
      <w:r w:rsidR="00A66803">
        <w:rPr>
          <w:bCs/>
          <w:lang w:val="it-IT"/>
        </w:rPr>
        <w:t xml:space="preserve">basso costo, </w:t>
      </w:r>
      <w:r w:rsidRPr="000A78E1">
        <w:rPr>
          <w:bCs/>
          <w:lang w:val="it-IT"/>
        </w:rPr>
        <w:t>misurazioni in campo, vis/NIR, chem</w:t>
      </w:r>
      <w:r>
        <w:rPr>
          <w:bCs/>
          <w:lang w:val="it-IT"/>
        </w:rPr>
        <w:t>i</w:t>
      </w:r>
      <w:r w:rsidRPr="000A78E1">
        <w:rPr>
          <w:bCs/>
          <w:lang w:val="it-IT"/>
        </w:rPr>
        <w:t>ometria</w:t>
      </w:r>
    </w:p>
    <w:p w14:paraId="5626224F" w14:textId="77777777" w:rsidR="00C317F5" w:rsidRPr="00F27AEB" w:rsidRDefault="00C317F5" w:rsidP="00C317F5">
      <w:pPr>
        <w:pStyle w:val="ReferencesTitle"/>
        <w:rPr>
          <w:lang w:val="it-IT"/>
        </w:rPr>
      </w:pPr>
      <w:r w:rsidRPr="00F27AEB">
        <w:rPr>
          <w:lang w:val="it-IT"/>
        </w:rPr>
        <w:t xml:space="preserve">REFERENCES </w:t>
      </w:r>
    </w:p>
    <w:p w14:paraId="0FFF1ABA" w14:textId="77777777" w:rsidR="00C317F5" w:rsidRPr="00DF61D3" w:rsidRDefault="00C317F5" w:rsidP="00C317F5">
      <w:pPr>
        <w:pStyle w:val="Reference"/>
        <w:rPr>
          <w:lang w:val="en-GB"/>
        </w:rPr>
      </w:pPr>
      <w:r w:rsidRPr="00757778">
        <w:rPr>
          <w:lang w:val="it-IT"/>
        </w:rPr>
        <w:t xml:space="preserve">Casson, A., Beghi, R., Giovenzana, V., Fiorindo, I., Tugnolo, A., &amp; Guidetti, R. (2020). </w:t>
      </w:r>
      <w:r w:rsidRPr="00757778">
        <w:rPr>
          <w:lang w:val="en-GB"/>
        </w:rPr>
        <w:t>Environme</w:t>
      </w:r>
      <w:r>
        <w:rPr>
          <w:lang w:val="en-GB"/>
        </w:rPr>
        <w:t>n</w:t>
      </w:r>
      <w:r w:rsidRPr="00757778">
        <w:rPr>
          <w:lang w:val="en-GB"/>
        </w:rPr>
        <w:t xml:space="preserve">tal advantages of visible and near infrared spectroscopy for the prediction of intact olive ripeness. Biosystems Engineering, 189, 1–10. </w:t>
      </w:r>
      <w:hyperlink r:id="rId11" w:history="1">
        <w:r w:rsidRPr="00DF61D3">
          <w:rPr>
            <w:rStyle w:val="Hyperlink"/>
            <w:lang w:val="en-GB"/>
          </w:rPr>
          <w:t>https://doi.org/10.1016/j.biosystemseng.2019.11.003</w:t>
        </w:r>
      </w:hyperlink>
    </w:p>
    <w:p w14:paraId="48B105DF" w14:textId="77777777" w:rsidR="00C317F5" w:rsidRPr="00DF61D3" w:rsidRDefault="00C317F5" w:rsidP="00C317F5">
      <w:pPr>
        <w:pStyle w:val="Reference"/>
        <w:rPr>
          <w:lang w:val="en-GB"/>
        </w:rPr>
      </w:pPr>
      <w:r w:rsidRPr="00DF61D3">
        <w:rPr>
          <w:lang w:val="en-GB"/>
        </w:rPr>
        <w:t xml:space="preserve">Giovenzana, V., Beghi, R., </w:t>
      </w:r>
      <w:proofErr w:type="spellStart"/>
      <w:r w:rsidRPr="00DF61D3">
        <w:rPr>
          <w:lang w:val="en-GB"/>
        </w:rPr>
        <w:t>Civelli</w:t>
      </w:r>
      <w:proofErr w:type="spellEnd"/>
      <w:r w:rsidRPr="00DF61D3">
        <w:rPr>
          <w:lang w:val="en-GB"/>
        </w:rPr>
        <w:t xml:space="preserve">, R., &amp; Guidetti, R. (2015). </w:t>
      </w:r>
      <w:r w:rsidRPr="003D54E2">
        <w:t xml:space="preserve">Optical techniques for rapid quality monitoring along minimally processed fruit and vegetable chain. Trends in Food Science &amp; Technology, 46(2), 331–338. </w:t>
      </w:r>
      <w:hyperlink r:id="rId12" w:history="1">
        <w:r w:rsidRPr="00DF61D3">
          <w:rPr>
            <w:rStyle w:val="Hyperlink"/>
            <w:lang w:val="en-GB"/>
          </w:rPr>
          <w:t>https://doi.org/10.1016/J.TIFS.2015.10.006</w:t>
        </w:r>
      </w:hyperlink>
    </w:p>
    <w:p w14:paraId="4A3B0D9C" w14:textId="77777777" w:rsidR="00C317F5" w:rsidRPr="003D54E2" w:rsidRDefault="00C317F5" w:rsidP="00C317F5">
      <w:pPr>
        <w:pStyle w:val="Reference"/>
        <w:rPr>
          <w:lang w:val="en-GB"/>
        </w:rPr>
      </w:pPr>
      <w:r w:rsidRPr="003D54E2">
        <w:rPr>
          <w:lang w:val="it-IT"/>
        </w:rPr>
        <w:t xml:space="preserve">Pampuri, A., Giovenzana, V., Beghi, R., Tugnolo, A., Casson, A., &amp; Guidetti, R. (2021). </w:t>
      </w:r>
      <w:r w:rsidRPr="003D54E2">
        <w:rPr>
          <w:lang w:val="en-GB"/>
        </w:rPr>
        <w:t xml:space="preserve">Smart-HAND: a simplified LED device for intact olives quality evaluation. In International Conference on Near Infrared Spectroscopy (ICNIRS). </w:t>
      </w:r>
    </w:p>
    <w:p w14:paraId="0E63D24C" w14:textId="10DCA1FE" w:rsidR="00C317F5" w:rsidRPr="00C317F5" w:rsidRDefault="00C317F5" w:rsidP="002C6B3D">
      <w:pPr>
        <w:pStyle w:val="Reference"/>
      </w:pPr>
      <w:r w:rsidRPr="003D54E2">
        <w:t xml:space="preserve">Wu, D., &amp; Sun, D. W. (2013). Advanced applications of hyperspectral imaging technology for food quality and safety analysis and assessment: A review — Part I: Fundamentals. Innovative Food Science &amp; Emerging Technologies, 19, 1–14. </w:t>
      </w:r>
      <w:hyperlink r:id="rId13" w:history="1">
        <w:r w:rsidRPr="003D54E2">
          <w:rPr>
            <w:rStyle w:val="Hyperlink"/>
            <w:lang w:val="en-GB"/>
          </w:rPr>
          <w:t>https://doi.org/10.1016/J.IFSET.2013.04.014</w:t>
        </w:r>
      </w:hyperlink>
    </w:p>
    <w:sectPr w:rsidR="00C317F5" w:rsidRPr="00C317F5" w:rsidSect="00A079B9">
      <w:headerReference w:type="even" r:id="rId14"/>
      <w:headerReference w:type="default" r:id="rId15"/>
      <w:headerReference w:type="first" r:id="rId16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6BBB" w14:textId="77777777" w:rsidR="00F04311" w:rsidRDefault="00F04311">
      <w:r>
        <w:separator/>
      </w:r>
    </w:p>
  </w:endnote>
  <w:endnote w:type="continuationSeparator" w:id="0">
    <w:p w14:paraId="486CD487" w14:textId="77777777" w:rsidR="00F04311" w:rsidRDefault="00F04311">
      <w:r>
        <w:continuationSeparator/>
      </w:r>
    </w:p>
  </w:endnote>
  <w:endnote w:type="continuationNotice" w:id="1">
    <w:p w14:paraId="407AAF46" w14:textId="77777777" w:rsidR="00F04311" w:rsidRDefault="00F04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CF2A" w14:textId="77777777" w:rsidR="00F04311" w:rsidRDefault="00F04311">
      <w:r>
        <w:separator/>
      </w:r>
    </w:p>
  </w:footnote>
  <w:footnote w:type="continuationSeparator" w:id="0">
    <w:p w14:paraId="3336828C" w14:textId="77777777" w:rsidR="00F04311" w:rsidRDefault="00F04311">
      <w:r>
        <w:continuationSeparator/>
      </w:r>
    </w:p>
  </w:footnote>
  <w:footnote w:type="continuationNotice" w:id="1">
    <w:p w14:paraId="6CB885D2" w14:textId="77777777" w:rsidR="00F04311" w:rsidRDefault="00F04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18E4" w14:textId="77777777" w:rsidR="00045DD5" w:rsidRDefault="00045DD5">
    <w:pPr>
      <w:pStyle w:val="Header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3DCCACB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20E0" w14:textId="77777777" w:rsidR="00A079B9" w:rsidRDefault="00A079B9" w:rsidP="00A079B9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>
      <w:tab/>
    </w:r>
    <w:r w:rsidRPr="00045DD5">
      <w:rPr>
        <w:b/>
        <w:bCs/>
        <w:noProof/>
        <w:lang w:eastAsia="en-US"/>
      </w:rPr>
      <w:drawing>
        <wp:anchor distT="0" distB="0" distL="114935" distR="114935" simplePos="0" relativeHeight="251658245" behindDoc="0" locked="0" layoutInCell="1" allowOverlap="1" wp14:anchorId="7FA4B7E0" wp14:editId="6D2EFE0A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8246" behindDoc="0" locked="0" layoutInCell="1" allowOverlap="1" wp14:anchorId="3ED4B49A" wp14:editId="0121523D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3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2022</w:t>
    </w:r>
  </w:p>
  <w:p w14:paraId="4E471B8C" w14:textId="77777777" w:rsidR="00A079B9" w:rsidRDefault="00A079B9" w:rsidP="00A079B9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18F8B276" w14:textId="77777777" w:rsidR="00A079B9" w:rsidRPr="0071430C" w:rsidRDefault="00A079B9" w:rsidP="00A079B9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Pr="0071430C">
      <w:rPr>
        <w:bCs/>
        <w:iCs/>
        <w:sz w:val="20"/>
        <w:szCs w:val="20"/>
      </w:rPr>
      <w:t>, Slovenia</w:t>
    </w:r>
    <w:r>
      <w:rPr>
        <w:bCs/>
        <w:iCs/>
        <w:sz w:val="20"/>
        <w:szCs w:val="20"/>
      </w:rPr>
      <w:t>,</w:t>
    </w:r>
    <w:r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Pr="0071430C">
      <w:rPr>
        <w:bCs/>
        <w:iCs/>
        <w:sz w:val="20"/>
        <w:szCs w:val="20"/>
      </w:rPr>
      <w:t xml:space="preserve"> 2020</w:t>
    </w: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35685D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5458" w14:textId="52623779" w:rsidR="00F46A13" w:rsidRDefault="0071430C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</w:t>
    </w:r>
    <w:r w:rsidR="00444124">
      <w:rPr>
        <w:b/>
        <w:bCs/>
        <w:noProof/>
        <w:lang w:eastAsia="en-US"/>
      </w:rPr>
      <w:t>2</w:t>
    </w:r>
  </w:p>
  <w:p w14:paraId="73F60BF0" w14:textId="77777777" w:rsidR="00F46A13" w:rsidRDefault="0071430C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570F24E" w:rsidR="00B57FD3" w:rsidRPr="0071430C" w:rsidRDefault="00444124" w:rsidP="00F46A13">
    <w:pPr>
      <w:pStyle w:val="Header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="00F17B89" w:rsidRPr="0071430C">
      <w:rPr>
        <w:bCs/>
        <w:iCs/>
        <w:sz w:val="20"/>
        <w:szCs w:val="20"/>
      </w:rPr>
      <w:t xml:space="preserve">, </w:t>
    </w:r>
    <w:r w:rsidR="00045DD5"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="00F17B89" w:rsidRPr="0071430C">
      <w:rPr>
        <w:bCs/>
        <w:iCs/>
        <w:sz w:val="20"/>
        <w:szCs w:val="20"/>
      </w:rPr>
      <w:t xml:space="preserve"> 20</w:t>
    </w:r>
    <w:r w:rsidR="00045DD5" w:rsidRPr="0071430C">
      <w:rPr>
        <w:bCs/>
        <w:iCs/>
        <w:sz w:val="20"/>
        <w:szCs w:val="20"/>
      </w:rPr>
      <w:t>20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AEB01DD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 w16cid:durableId="177232096">
    <w:abstractNumId w:val="0"/>
  </w:num>
  <w:num w:numId="2" w16cid:durableId="650451378">
    <w:abstractNumId w:val="1"/>
  </w:num>
  <w:num w:numId="3" w16cid:durableId="650329141">
    <w:abstractNumId w:val="2"/>
  </w:num>
  <w:num w:numId="4" w16cid:durableId="164346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zYxNjI3MzEzMjBU0lEKTi0uzszPAykwrAUAjobS6iwAAAA="/>
  </w:docVars>
  <w:rsids>
    <w:rsidRoot w:val="00B01496"/>
    <w:rsid w:val="00014F1E"/>
    <w:rsid w:val="00020874"/>
    <w:rsid w:val="000241F2"/>
    <w:rsid w:val="00024225"/>
    <w:rsid w:val="0002768C"/>
    <w:rsid w:val="00045DD5"/>
    <w:rsid w:val="00072AF3"/>
    <w:rsid w:val="000771E7"/>
    <w:rsid w:val="00093498"/>
    <w:rsid w:val="000A78E1"/>
    <w:rsid w:val="000B558F"/>
    <w:rsid w:val="000B7CCA"/>
    <w:rsid w:val="000D21CF"/>
    <w:rsid w:val="000D2BC5"/>
    <w:rsid w:val="000E3EF9"/>
    <w:rsid w:val="000F73D6"/>
    <w:rsid w:val="00112ADE"/>
    <w:rsid w:val="00177A88"/>
    <w:rsid w:val="00191552"/>
    <w:rsid w:val="001B10FA"/>
    <w:rsid w:val="001B348D"/>
    <w:rsid w:val="00204754"/>
    <w:rsid w:val="0021170F"/>
    <w:rsid w:val="002562AA"/>
    <w:rsid w:val="002603A9"/>
    <w:rsid w:val="00286D8D"/>
    <w:rsid w:val="00287B2D"/>
    <w:rsid w:val="002C2120"/>
    <w:rsid w:val="002C6B3D"/>
    <w:rsid w:val="002E0520"/>
    <w:rsid w:val="002E3C50"/>
    <w:rsid w:val="002E4DB3"/>
    <w:rsid w:val="002E5570"/>
    <w:rsid w:val="002E7B16"/>
    <w:rsid w:val="003336A0"/>
    <w:rsid w:val="003C53D4"/>
    <w:rsid w:val="003D3AAC"/>
    <w:rsid w:val="003D54E2"/>
    <w:rsid w:val="003E7B48"/>
    <w:rsid w:val="00413CE9"/>
    <w:rsid w:val="00424760"/>
    <w:rsid w:val="00426EF9"/>
    <w:rsid w:val="00444124"/>
    <w:rsid w:val="00453619"/>
    <w:rsid w:val="00456739"/>
    <w:rsid w:val="00463F1B"/>
    <w:rsid w:val="00466A75"/>
    <w:rsid w:val="00470C84"/>
    <w:rsid w:val="004D2870"/>
    <w:rsid w:val="004D5202"/>
    <w:rsid w:val="004D76A4"/>
    <w:rsid w:val="005033E3"/>
    <w:rsid w:val="00532153"/>
    <w:rsid w:val="00536928"/>
    <w:rsid w:val="00544AC4"/>
    <w:rsid w:val="00554664"/>
    <w:rsid w:val="00557C02"/>
    <w:rsid w:val="005706F4"/>
    <w:rsid w:val="00574A27"/>
    <w:rsid w:val="005A737D"/>
    <w:rsid w:val="005B597D"/>
    <w:rsid w:val="005D1455"/>
    <w:rsid w:val="005D1D39"/>
    <w:rsid w:val="005D3BC2"/>
    <w:rsid w:val="005F5E44"/>
    <w:rsid w:val="00611342"/>
    <w:rsid w:val="00614E7F"/>
    <w:rsid w:val="006201C4"/>
    <w:rsid w:val="00631A80"/>
    <w:rsid w:val="00633F5B"/>
    <w:rsid w:val="00635AAB"/>
    <w:rsid w:val="00640719"/>
    <w:rsid w:val="0064544A"/>
    <w:rsid w:val="00682150"/>
    <w:rsid w:val="006922BB"/>
    <w:rsid w:val="00692685"/>
    <w:rsid w:val="006A2C85"/>
    <w:rsid w:val="006A7C71"/>
    <w:rsid w:val="006B2736"/>
    <w:rsid w:val="006D346E"/>
    <w:rsid w:val="00702BB6"/>
    <w:rsid w:val="0071430C"/>
    <w:rsid w:val="00721C31"/>
    <w:rsid w:val="00734F85"/>
    <w:rsid w:val="00751562"/>
    <w:rsid w:val="00753B8C"/>
    <w:rsid w:val="0075626E"/>
    <w:rsid w:val="00757778"/>
    <w:rsid w:val="007739F5"/>
    <w:rsid w:val="00773B2E"/>
    <w:rsid w:val="00775555"/>
    <w:rsid w:val="00780A82"/>
    <w:rsid w:val="007C1487"/>
    <w:rsid w:val="007D2247"/>
    <w:rsid w:val="007F6940"/>
    <w:rsid w:val="00801094"/>
    <w:rsid w:val="008151A9"/>
    <w:rsid w:val="00815A58"/>
    <w:rsid w:val="00841206"/>
    <w:rsid w:val="00854F84"/>
    <w:rsid w:val="008846B7"/>
    <w:rsid w:val="00891F97"/>
    <w:rsid w:val="00897032"/>
    <w:rsid w:val="008C2401"/>
    <w:rsid w:val="008E109D"/>
    <w:rsid w:val="0090393D"/>
    <w:rsid w:val="0093095B"/>
    <w:rsid w:val="009334C3"/>
    <w:rsid w:val="009942BC"/>
    <w:rsid w:val="009A457F"/>
    <w:rsid w:val="009D7944"/>
    <w:rsid w:val="009F54C9"/>
    <w:rsid w:val="00A05FDE"/>
    <w:rsid w:val="00A079B9"/>
    <w:rsid w:val="00A46E8D"/>
    <w:rsid w:val="00A66803"/>
    <w:rsid w:val="00A724B0"/>
    <w:rsid w:val="00AA096D"/>
    <w:rsid w:val="00AE280C"/>
    <w:rsid w:val="00AE2C48"/>
    <w:rsid w:val="00B01496"/>
    <w:rsid w:val="00B42491"/>
    <w:rsid w:val="00B50773"/>
    <w:rsid w:val="00B52F84"/>
    <w:rsid w:val="00B57FD3"/>
    <w:rsid w:val="00B672C5"/>
    <w:rsid w:val="00B67E98"/>
    <w:rsid w:val="00BB157A"/>
    <w:rsid w:val="00C052E0"/>
    <w:rsid w:val="00C141DE"/>
    <w:rsid w:val="00C20F91"/>
    <w:rsid w:val="00C317F5"/>
    <w:rsid w:val="00C46101"/>
    <w:rsid w:val="00C46F79"/>
    <w:rsid w:val="00C4732A"/>
    <w:rsid w:val="00CA258B"/>
    <w:rsid w:val="00CE014C"/>
    <w:rsid w:val="00CE6150"/>
    <w:rsid w:val="00CF3404"/>
    <w:rsid w:val="00D22068"/>
    <w:rsid w:val="00D513C2"/>
    <w:rsid w:val="00D52212"/>
    <w:rsid w:val="00D63B9F"/>
    <w:rsid w:val="00D63F0D"/>
    <w:rsid w:val="00D77527"/>
    <w:rsid w:val="00D937DC"/>
    <w:rsid w:val="00D9731E"/>
    <w:rsid w:val="00DA008B"/>
    <w:rsid w:val="00DA7C2F"/>
    <w:rsid w:val="00DF14AD"/>
    <w:rsid w:val="00DF61D3"/>
    <w:rsid w:val="00E16DE0"/>
    <w:rsid w:val="00E47876"/>
    <w:rsid w:val="00E57BB9"/>
    <w:rsid w:val="00E625C2"/>
    <w:rsid w:val="00E73953"/>
    <w:rsid w:val="00E93DD2"/>
    <w:rsid w:val="00EE25DE"/>
    <w:rsid w:val="00EE3DC0"/>
    <w:rsid w:val="00F00CCE"/>
    <w:rsid w:val="00F04311"/>
    <w:rsid w:val="00F11669"/>
    <w:rsid w:val="00F14F3F"/>
    <w:rsid w:val="00F16124"/>
    <w:rsid w:val="00F17B89"/>
    <w:rsid w:val="00F27AEB"/>
    <w:rsid w:val="00F4144A"/>
    <w:rsid w:val="00F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adpis"/>
    <w:next w:val="BodyText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PageNumber">
    <w:name w:val="page number"/>
    <w:basedOn w:val="Fuentedeprrafopredeter"/>
  </w:style>
  <w:style w:type="character" w:styleId="Hyperlink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AbstractTitle">
    <w:name w:val="Abstract Title"/>
    <w:basedOn w:val="Normal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"/>
    <w:pPr>
      <w:spacing w:before="240"/>
      <w:jc w:val="center"/>
    </w:pPr>
    <w:rPr>
      <w:b/>
    </w:rPr>
  </w:style>
  <w:style w:type="paragraph" w:customStyle="1" w:styleId="Affiliation">
    <w:name w:val="Affiliation"/>
    <w:basedOn w:val="Normal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"/>
    <w:pPr>
      <w:spacing w:before="227"/>
    </w:pPr>
    <w:rPr>
      <w:i/>
      <w:sz w:val="22"/>
    </w:rPr>
  </w:style>
  <w:style w:type="paragraph" w:customStyle="1" w:styleId="Abstract">
    <w:name w:val="Abstract"/>
    <w:basedOn w:val="Normal"/>
    <w:pPr>
      <w:spacing w:before="283"/>
      <w:jc w:val="both"/>
    </w:pPr>
    <w:rPr>
      <w:i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Heading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Heading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"/>
    <w:next w:val="Normal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Listaconvietas">
    <w:name w:val="Lista con viñetas"/>
    <w:basedOn w:val="Normal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BodyText"/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3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34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F85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85"/>
    <w:rPr>
      <w:rFonts w:eastAsia="SimSun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D54E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D54E2"/>
    <w:rPr>
      <w:color w:val="808080"/>
    </w:rPr>
  </w:style>
  <w:style w:type="paragraph" w:styleId="Revision">
    <w:name w:val="Revision"/>
    <w:hidden/>
    <w:uiPriority w:val="99"/>
    <w:semiHidden/>
    <w:rsid w:val="000D2BC5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7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16/J.IFSET.2013.04.01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16/J.TIFS.2015.10.00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j.biosystemseng.2019.11.00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9AB4CD-F8CB-43ED-99D5-2BE06D191AAF}">
  <we:reference id="wa104382081" version="1.35.0.0" store="it-IT" storeType="OMEX"/>
  <we:alternateReferences>
    <we:reference id="wa104382081" version="1.35.0.0" store="it-IT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A54EB2B0F0764EA3250C95F64055F4" ma:contentTypeVersion="0" ma:contentTypeDescription="Creare un nuovo documento." ma:contentTypeScope="" ma:versionID="273e1d937d2c47d4e07490189c46b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fc6762820ea889779ba5d31a4b5e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AED22-16CB-4C63-8AFD-68369C13A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140ADC-46F5-4138-B465-C784BB7D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3772</CharactersWithSpaces>
  <SharedDoc>false</SharedDoc>
  <HLinks>
    <vt:vector size="36" baseType="variant">
      <vt:variant>
        <vt:i4>3997809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https://doi.org/10.1016/J.IFSET.2013.04.014</vt:lpwstr>
      </vt:variant>
      <vt:variant>
        <vt:lpwstr/>
      </vt:variant>
      <vt:variant>
        <vt:i4>3997728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https://doi.org/10.1016/J.TIFS.2015.10.006</vt:lpwstr>
      </vt:variant>
      <vt:variant>
        <vt:lpwstr/>
      </vt:variant>
      <vt:variant>
        <vt:i4>2424949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https://doi.org/10.1016/j.biosystemseng.2019.11.003</vt:lpwstr>
      </vt:variant>
      <vt:variant>
        <vt:lpwstr/>
      </vt:variant>
      <vt:variant>
        <vt:i4>3997809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https://doi.org/10.1016/J.IFSET.2013.04.014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https://doi.org/10.1016/J.TIFS.2015.10.006</vt:lpwstr>
      </vt:variant>
      <vt:variant>
        <vt:lpwstr/>
      </vt:variant>
      <vt:variant>
        <vt:i4>2424949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https://doi.org/10.1016/j.biosystemseng.2019.11.003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Alessia Pampuri</cp:lastModifiedBy>
  <cp:revision>2</cp:revision>
  <cp:lastPrinted>2014-01-17T10:40:00Z</cp:lastPrinted>
  <dcterms:created xsi:type="dcterms:W3CDTF">2022-04-20T13:47:00Z</dcterms:created>
  <dcterms:modified xsi:type="dcterms:W3CDTF">2022-04-20T13:47:00Z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0x010100DAA54EB2B0F0764EA3250C95F64055F4</vt:lpwstr>
  </property>
</Properties>
</file>