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067D6A" w14:textId="77777777" w:rsidR="00A82E5E" w:rsidRPr="009706EB" w:rsidRDefault="00A82E5E" w:rsidP="00A82E5E">
      <w:pPr>
        <w:pStyle w:val="AbstractTitle"/>
        <w:rPr>
          <w:color w:val="FF0000"/>
          <w:lang w:val="it-IT"/>
        </w:rPr>
      </w:pPr>
      <w:r w:rsidRPr="009706EB">
        <w:rPr>
          <w:color w:val="FF0000"/>
          <w:lang w:val="it-IT"/>
        </w:rPr>
        <w:t>Li</w:t>
      </w:r>
      <w:r>
        <w:rPr>
          <w:color w:val="FF0000"/>
          <w:lang w:val="it-IT"/>
        </w:rPr>
        <w:t xml:space="preserve">pidi “in a </w:t>
      </w:r>
      <w:proofErr w:type="spellStart"/>
      <w:r>
        <w:rPr>
          <w:color w:val="FF0000"/>
          <w:lang w:val="it-IT"/>
        </w:rPr>
        <w:t>nutshell</w:t>
      </w:r>
      <w:proofErr w:type="spellEnd"/>
      <w:r>
        <w:rPr>
          <w:color w:val="FF0000"/>
          <w:lang w:val="it-IT"/>
        </w:rPr>
        <w:t>”</w:t>
      </w:r>
      <w:r w:rsidRPr="009706EB">
        <w:rPr>
          <w:color w:val="FF0000"/>
          <w:lang w:val="it-IT"/>
        </w:rPr>
        <w:t>: valutazione rapida del contenuto lipidico di nocciole attraverso spettroscopia NIR</w:t>
      </w:r>
    </w:p>
    <w:p w14:paraId="6B06245F" w14:textId="77777777" w:rsidR="00A82E5E" w:rsidRPr="00C77C40" w:rsidRDefault="00A82E5E" w:rsidP="00A82E5E">
      <w:pPr>
        <w:pStyle w:val="Author"/>
        <w:spacing w:before="0"/>
        <w:rPr>
          <w:lang w:val="it-IT"/>
        </w:rPr>
      </w:pPr>
    </w:p>
    <w:p w14:paraId="65AE3AAF" w14:textId="77777777" w:rsidR="00A82E5E" w:rsidRPr="00DC4224" w:rsidRDefault="00A82E5E" w:rsidP="00A82E5E">
      <w:pPr>
        <w:pStyle w:val="Author"/>
        <w:spacing w:before="0"/>
        <w:rPr>
          <w:b w:val="0"/>
          <w:vertAlign w:val="superscript"/>
          <w:lang w:val="it-IT"/>
        </w:rPr>
      </w:pPr>
      <w:r w:rsidRPr="00DC4224">
        <w:rPr>
          <w:lang w:val="it-IT"/>
        </w:rPr>
        <w:t>F. Savorani</w:t>
      </w:r>
      <w:r w:rsidRPr="00DC4224">
        <w:rPr>
          <w:b w:val="0"/>
          <w:bCs/>
          <w:vertAlign w:val="superscript"/>
          <w:lang w:val="it-IT"/>
        </w:rPr>
        <w:t>1</w:t>
      </w:r>
      <w:r w:rsidRPr="00DC4224">
        <w:rPr>
          <w:b w:val="0"/>
          <w:vertAlign w:val="superscript"/>
          <w:lang w:val="it-IT"/>
        </w:rPr>
        <w:t>*</w:t>
      </w:r>
      <w:r w:rsidRPr="00DC4224">
        <w:rPr>
          <w:lang w:val="it-IT"/>
        </w:rPr>
        <w:t>, E. Cazzaniga</w:t>
      </w:r>
      <w:r w:rsidRPr="00DC4224">
        <w:rPr>
          <w:b w:val="0"/>
          <w:bCs/>
          <w:vertAlign w:val="superscript"/>
          <w:lang w:val="it-IT"/>
        </w:rPr>
        <w:t>1</w:t>
      </w:r>
      <w:r w:rsidRPr="00DC4224">
        <w:rPr>
          <w:lang w:val="it-IT"/>
        </w:rPr>
        <w:t>, Nicola Cavallini</w:t>
      </w:r>
      <w:r w:rsidRPr="00DC4224">
        <w:rPr>
          <w:b w:val="0"/>
          <w:vertAlign w:val="superscript"/>
          <w:lang w:val="it-IT"/>
        </w:rPr>
        <w:t>1</w:t>
      </w:r>
      <w:r w:rsidRPr="00DC4224">
        <w:rPr>
          <w:lang w:val="it-IT"/>
        </w:rPr>
        <w:t>, A. Giraudo</w:t>
      </w:r>
      <w:r w:rsidRPr="00DC4224">
        <w:rPr>
          <w:b w:val="0"/>
          <w:bCs/>
          <w:vertAlign w:val="superscript"/>
          <w:lang w:val="it-IT"/>
        </w:rPr>
        <w:t>1</w:t>
      </w:r>
    </w:p>
    <w:p w14:paraId="680E343F" w14:textId="77777777" w:rsidR="00A82E5E" w:rsidRPr="003D115C" w:rsidRDefault="00A82E5E" w:rsidP="00A82E5E">
      <w:pPr>
        <w:pStyle w:val="Author"/>
        <w:spacing w:before="0"/>
        <w:rPr>
          <w:b w:val="0"/>
          <w:vertAlign w:val="superscript"/>
          <w:lang w:val="it-IT"/>
        </w:rPr>
      </w:pPr>
    </w:p>
    <w:p w14:paraId="03F74B94" w14:textId="77777777" w:rsidR="00A82E5E" w:rsidRPr="0075458F" w:rsidRDefault="00A82E5E" w:rsidP="00A82E5E">
      <w:pPr>
        <w:pStyle w:val="Affiliation"/>
        <w:spacing w:before="0"/>
        <w:rPr>
          <w:vertAlign w:val="superscript"/>
          <w:lang w:val="it-IT"/>
        </w:rPr>
      </w:pPr>
      <w:r w:rsidRPr="0075458F">
        <w:rPr>
          <w:vertAlign w:val="superscript"/>
          <w:lang w:val="it-IT"/>
        </w:rPr>
        <w:t>1</w:t>
      </w:r>
      <w:r w:rsidRPr="0075458F">
        <w:rPr>
          <w:lang w:val="it-IT"/>
        </w:rPr>
        <w:t xml:space="preserve"> </w:t>
      </w:r>
      <w:r w:rsidRPr="0075458F">
        <w:rPr>
          <w:szCs w:val="22"/>
          <w:lang w:val="it-IT"/>
        </w:rPr>
        <w:t>D</w:t>
      </w:r>
      <w:r>
        <w:rPr>
          <w:szCs w:val="22"/>
          <w:lang w:val="it-IT"/>
        </w:rPr>
        <w:t>ipartimento di Scienza Applicata e Tecnologia</w:t>
      </w:r>
      <w:r w:rsidRPr="0075458F">
        <w:rPr>
          <w:szCs w:val="22"/>
          <w:lang w:val="it-IT"/>
        </w:rPr>
        <w:t xml:space="preserve">, Politecnico di Torino, Corso Duca degli Abruzzi 24 – 10129 Torino </w:t>
      </w:r>
    </w:p>
    <w:p w14:paraId="411B1574" w14:textId="77777777" w:rsidR="00A82E5E" w:rsidRPr="00554AFE" w:rsidRDefault="00A82E5E" w:rsidP="00A82E5E">
      <w:pPr>
        <w:pStyle w:val="Affiliation"/>
        <w:spacing w:before="0"/>
        <w:rPr>
          <w:lang w:val="en-GB"/>
        </w:rPr>
      </w:pPr>
      <w:r w:rsidRPr="00A82E5E">
        <w:rPr>
          <w:szCs w:val="22"/>
        </w:rPr>
        <w:br/>
      </w:r>
      <w:r w:rsidRPr="00554AFE">
        <w:rPr>
          <w:lang w:val="en-GB"/>
        </w:rPr>
        <w:t>*Corresponding author: francesco.savorani@polito.it</w:t>
      </w:r>
    </w:p>
    <w:p w14:paraId="4712CED1" w14:textId="77777777" w:rsidR="00A82E5E" w:rsidRPr="00554AFE" w:rsidRDefault="00A82E5E" w:rsidP="00A82E5E">
      <w:pPr>
        <w:pStyle w:val="Reference"/>
        <w:rPr>
          <w:lang w:val="en-GB"/>
        </w:rPr>
      </w:pPr>
    </w:p>
    <w:p w14:paraId="3795134D" w14:textId="77777777" w:rsidR="00A82E5E" w:rsidRDefault="00A82E5E" w:rsidP="00A82E5E">
      <w:pPr>
        <w:pStyle w:val="Reference"/>
        <w:ind w:left="0" w:right="-2" w:firstLine="0"/>
        <w:jc w:val="both"/>
        <w:rPr>
          <w:sz w:val="24"/>
          <w:lang w:val="it-IT"/>
        </w:rPr>
      </w:pPr>
      <w:r w:rsidRPr="00554AFE">
        <w:rPr>
          <w:sz w:val="24"/>
          <w:lang w:val="it-IT"/>
        </w:rPr>
        <w:t>Le nocciole (</w:t>
      </w:r>
      <w:proofErr w:type="spellStart"/>
      <w:r w:rsidRPr="00D84259">
        <w:rPr>
          <w:i/>
          <w:iCs/>
          <w:sz w:val="24"/>
          <w:lang w:val="it-IT"/>
        </w:rPr>
        <w:t>Corylus</w:t>
      </w:r>
      <w:proofErr w:type="spellEnd"/>
      <w:r w:rsidRPr="00D84259">
        <w:rPr>
          <w:i/>
          <w:iCs/>
          <w:sz w:val="24"/>
          <w:lang w:val="it-IT"/>
        </w:rPr>
        <w:t xml:space="preserve"> avellana</w:t>
      </w:r>
      <w:r w:rsidRPr="00554AFE">
        <w:rPr>
          <w:sz w:val="24"/>
          <w:lang w:val="it-IT"/>
        </w:rPr>
        <w:t xml:space="preserve"> L.) </w:t>
      </w:r>
      <w:r>
        <w:rPr>
          <w:sz w:val="24"/>
          <w:lang w:val="it-IT"/>
        </w:rPr>
        <w:t>rappresentano uno dei</w:t>
      </w:r>
      <w:r w:rsidRPr="00554AFE">
        <w:rPr>
          <w:sz w:val="24"/>
          <w:lang w:val="it-IT"/>
        </w:rPr>
        <w:t xml:space="preserve"> tipi di frutta secca più consumata in tutto il mondo</w:t>
      </w:r>
      <w:sdt>
        <w:sdtPr>
          <w:rPr>
            <w:sz w:val="24"/>
            <w:lang w:val="en-GB"/>
          </w:rPr>
          <w:id w:val="328490888"/>
          <w:citation/>
        </w:sdtPr>
        <w:sdtContent>
          <w:r w:rsidRPr="00554AFE">
            <w:rPr>
              <w:sz w:val="24"/>
              <w:lang w:val="en-GB"/>
            </w:rPr>
            <w:fldChar w:fldCharType="begin"/>
          </w:r>
          <w:r>
            <w:rPr>
              <w:sz w:val="24"/>
              <w:lang w:val="it-IT"/>
            </w:rPr>
            <w:instrText xml:space="preserve">CITATION Oli08 \l 1040 </w:instrText>
          </w:r>
          <w:r w:rsidRPr="00554AFE">
            <w:rPr>
              <w:sz w:val="24"/>
              <w:lang w:val="en-GB"/>
            </w:rPr>
            <w:fldChar w:fldCharType="separate"/>
          </w:r>
          <w:r>
            <w:rPr>
              <w:noProof/>
              <w:sz w:val="24"/>
              <w:lang w:val="it-IT"/>
            </w:rPr>
            <w:t xml:space="preserve"> </w:t>
          </w:r>
          <w:r w:rsidRPr="008F0637">
            <w:rPr>
              <w:noProof/>
              <w:sz w:val="24"/>
              <w:lang w:val="it-IT"/>
            </w:rPr>
            <w:t>(Oliveira, et al., 2008)</w:t>
          </w:r>
          <w:r w:rsidRPr="00554AFE">
            <w:rPr>
              <w:sz w:val="24"/>
              <w:lang w:val="en-GB"/>
            </w:rPr>
            <w:fldChar w:fldCharType="end"/>
          </w:r>
        </w:sdtContent>
      </w:sdt>
      <w:r w:rsidRPr="00554AFE">
        <w:rPr>
          <w:sz w:val="24"/>
          <w:lang w:val="it-IT"/>
        </w:rPr>
        <w:t xml:space="preserve">. </w:t>
      </w:r>
      <w:r>
        <w:rPr>
          <w:sz w:val="24"/>
          <w:lang w:val="it-IT"/>
        </w:rPr>
        <w:t>Questo</w:t>
      </w:r>
      <w:r w:rsidRPr="00554AFE">
        <w:rPr>
          <w:sz w:val="24"/>
          <w:lang w:val="it-IT"/>
        </w:rPr>
        <w:t xml:space="preserve"> successo è </w:t>
      </w:r>
      <w:r>
        <w:rPr>
          <w:sz w:val="24"/>
          <w:lang w:val="it-IT"/>
        </w:rPr>
        <w:t>dovuto</w:t>
      </w:r>
      <w:r w:rsidRPr="00554AFE">
        <w:rPr>
          <w:sz w:val="24"/>
          <w:lang w:val="it-IT"/>
        </w:rPr>
        <w:t xml:space="preserve"> alle </w:t>
      </w:r>
      <w:r>
        <w:rPr>
          <w:sz w:val="24"/>
          <w:lang w:val="it-IT"/>
        </w:rPr>
        <w:t xml:space="preserve">loro </w:t>
      </w:r>
      <w:r w:rsidRPr="00554AFE">
        <w:rPr>
          <w:sz w:val="24"/>
          <w:lang w:val="it-IT"/>
        </w:rPr>
        <w:t xml:space="preserve">proprietà nutraceutiche, </w:t>
      </w:r>
      <w:r>
        <w:rPr>
          <w:sz w:val="24"/>
          <w:lang w:val="it-IT"/>
        </w:rPr>
        <w:t>dovute, tra l’altro, ad</w:t>
      </w:r>
      <w:r w:rsidRPr="00554AFE">
        <w:rPr>
          <w:sz w:val="24"/>
          <w:lang w:val="it-IT"/>
        </w:rPr>
        <w:t xml:space="preserve"> un </w:t>
      </w:r>
      <w:r>
        <w:rPr>
          <w:sz w:val="24"/>
          <w:lang w:val="it-IT"/>
        </w:rPr>
        <w:t>elevato</w:t>
      </w:r>
      <w:r w:rsidRPr="00554AFE">
        <w:rPr>
          <w:sz w:val="24"/>
          <w:lang w:val="it-IT"/>
        </w:rPr>
        <w:t xml:space="preserve"> contenuto in lipidi </w:t>
      </w:r>
      <w:r>
        <w:rPr>
          <w:sz w:val="24"/>
          <w:lang w:val="it-IT"/>
        </w:rPr>
        <w:t xml:space="preserve">ad alto valore nutrizionale </w:t>
      </w:r>
      <w:sdt>
        <w:sdtPr>
          <w:rPr>
            <w:sz w:val="24"/>
            <w:lang w:val="en-GB"/>
          </w:rPr>
          <w:id w:val="1526439606"/>
          <w:citation/>
        </w:sdtPr>
        <w:sdtContent>
          <w:r w:rsidRPr="00554AFE">
            <w:rPr>
              <w:sz w:val="24"/>
              <w:lang w:val="en-GB"/>
            </w:rPr>
            <w:fldChar w:fldCharType="begin"/>
          </w:r>
          <w:r>
            <w:rPr>
              <w:sz w:val="24"/>
              <w:lang w:val="it-IT"/>
            </w:rPr>
            <w:instrText xml:space="preserve">CITATION Kök06 \l 1040 </w:instrText>
          </w:r>
          <w:r w:rsidRPr="00554AFE">
            <w:rPr>
              <w:sz w:val="24"/>
              <w:lang w:val="en-GB"/>
            </w:rPr>
            <w:fldChar w:fldCharType="separate"/>
          </w:r>
          <w:r w:rsidRPr="008F0637">
            <w:rPr>
              <w:noProof/>
              <w:sz w:val="24"/>
              <w:lang w:val="it-IT"/>
            </w:rPr>
            <w:t>(Köksal, Artik, Şimşek, &amp; Güneş, 2006)</w:t>
          </w:r>
          <w:r w:rsidRPr="00554AFE">
            <w:rPr>
              <w:sz w:val="24"/>
              <w:lang w:val="en-GB"/>
            </w:rPr>
            <w:fldChar w:fldCharType="end"/>
          </w:r>
        </w:sdtContent>
      </w:sdt>
      <w:r w:rsidRPr="00554AFE">
        <w:rPr>
          <w:sz w:val="24"/>
          <w:lang w:val="it-IT"/>
        </w:rPr>
        <w:t xml:space="preserve">. In questo lavoro, </w:t>
      </w:r>
      <w:r>
        <w:rPr>
          <w:sz w:val="24"/>
          <w:lang w:val="it-IT"/>
        </w:rPr>
        <w:t>è stata investigata</w:t>
      </w:r>
      <w:r w:rsidRPr="00554AFE">
        <w:rPr>
          <w:sz w:val="24"/>
          <w:lang w:val="it-IT"/>
        </w:rPr>
        <w:t xml:space="preserve"> la possibilità di usare la spettroscopia ne</w:t>
      </w:r>
      <w:r>
        <w:rPr>
          <w:sz w:val="24"/>
          <w:lang w:val="it-IT"/>
        </w:rPr>
        <w:t>l vicino infrarosso (</w:t>
      </w:r>
      <w:proofErr w:type="spellStart"/>
      <w:r>
        <w:rPr>
          <w:sz w:val="24"/>
          <w:lang w:val="it-IT"/>
        </w:rPr>
        <w:t>Near</w:t>
      </w:r>
      <w:proofErr w:type="spellEnd"/>
      <w:r>
        <w:rPr>
          <w:sz w:val="24"/>
          <w:lang w:val="it-IT"/>
        </w:rPr>
        <w:t xml:space="preserve"> Infra-</w:t>
      </w:r>
      <w:proofErr w:type="spellStart"/>
      <w:r>
        <w:rPr>
          <w:sz w:val="24"/>
          <w:lang w:val="it-IT"/>
        </w:rPr>
        <w:t>Red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spectroscopy</w:t>
      </w:r>
      <w:proofErr w:type="spellEnd"/>
      <w:r>
        <w:rPr>
          <w:sz w:val="24"/>
          <w:lang w:val="it-IT"/>
        </w:rPr>
        <w:t>), usando sia un costoso spettrometro da banco, sia un economico strumento portatile, per ottenere informazioni riguardanti il contenuto in lipidi e polifenoli su 57 campioni di nocciole, diversi tra loro principalmente in base all’origine (Italia, sud America, Turchia, Georgia e Azerbaijan). A tal fine, sono stati usati due strumenti NIR differenti</w:t>
      </w:r>
      <w:r w:rsidRPr="006C0A58">
        <w:rPr>
          <w:sz w:val="24"/>
          <w:lang w:val="it-IT"/>
        </w:rPr>
        <w:t xml:space="preserve">: uno spettrometro FT-NIR da banco (Multi </w:t>
      </w:r>
      <w:proofErr w:type="spellStart"/>
      <w:r w:rsidRPr="006C0A58">
        <w:rPr>
          <w:sz w:val="24"/>
          <w:lang w:val="it-IT"/>
        </w:rPr>
        <w:t>Purpose</w:t>
      </w:r>
      <w:proofErr w:type="spellEnd"/>
      <w:r w:rsidRPr="006C0A58">
        <w:rPr>
          <w:sz w:val="24"/>
          <w:lang w:val="it-IT"/>
        </w:rPr>
        <w:t xml:space="preserve"> </w:t>
      </w:r>
      <w:proofErr w:type="spellStart"/>
      <w:r w:rsidRPr="006C0A58">
        <w:rPr>
          <w:sz w:val="24"/>
          <w:lang w:val="it-IT"/>
        </w:rPr>
        <w:t>Analyser</w:t>
      </w:r>
      <w:proofErr w:type="spellEnd"/>
      <w:r w:rsidRPr="006C0A58">
        <w:rPr>
          <w:sz w:val="24"/>
          <w:lang w:val="it-IT"/>
        </w:rPr>
        <w:t>–MPA, Bruker), equipaggiato con una</w:t>
      </w:r>
      <w:r>
        <w:rPr>
          <w:sz w:val="24"/>
          <w:lang w:val="it-IT"/>
        </w:rPr>
        <w:t xml:space="preserve"> sfera d’integrazione, e uno spettrometro portatile e alimentato a batteria, </w:t>
      </w:r>
      <w:proofErr w:type="spellStart"/>
      <w:r>
        <w:rPr>
          <w:sz w:val="24"/>
          <w:lang w:val="it-IT"/>
        </w:rPr>
        <w:t>SCiO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Power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Molecular</w:t>
      </w:r>
      <w:proofErr w:type="spellEnd"/>
      <w:r>
        <w:rPr>
          <w:sz w:val="24"/>
          <w:lang w:val="it-IT"/>
        </w:rPr>
        <w:t xml:space="preserve"> Sensor (Consumer </w:t>
      </w:r>
      <w:proofErr w:type="spellStart"/>
      <w:r>
        <w:rPr>
          <w:sz w:val="24"/>
          <w:lang w:val="it-IT"/>
        </w:rPr>
        <w:t>Physics</w:t>
      </w:r>
      <w:proofErr w:type="spellEnd"/>
      <w:r>
        <w:rPr>
          <w:sz w:val="24"/>
          <w:lang w:val="it-IT"/>
        </w:rPr>
        <w:t>).</w:t>
      </w:r>
    </w:p>
    <w:p w14:paraId="6D122F9C" w14:textId="77777777" w:rsidR="00A82E5E" w:rsidRDefault="00A82E5E" w:rsidP="00A82E5E">
      <w:pPr>
        <w:pStyle w:val="Reference"/>
        <w:spacing w:before="240" w:after="0"/>
        <w:ind w:left="0" w:firstLine="0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Gli spettri infrarossi acquisiti sono stati ispezionati attraverso analisi multivariata. Inizialmente è stato costruito un modello esplorativo attraverso </w:t>
      </w:r>
      <w:proofErr w:type="spellStart"/>
      <w:r>
        <w:rPr>
          <w:sz w:val="24"/>
          <w:lang w:val="it-IT"/>
        </w:rPr>
        <w:t>Principal</w:t>
      </w:r>
      <w:proofErr w:type="spellEnd"/>
      <w:r>
        <w:rPr>
          <w:sz w:val="24"/>
          <w:lang w:val="it-IT"/>
        </w:rPr>
        <w:t xml:space="preserve"> Component Analysis (PCA), per evidenziare l’informazione contenuta nei campioni. Successivamente è stato sviluppato un modello di regressione attraverso </w:t>
      </w:r>
      <w:proofErr w:type="spellStart"/>
      <w:r>
        <w:rPr>
          <w:sz w:val="24"/>
          <w:lang w:val="it-IT"/>
        </w:rPr>
        <w:t>Partial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Least</w:t>
      </w:r>
      <w:proofErr w:type="spellEnd"/>
      <w:r>
        <w:rPr>
          <w:sz w:val="24"/>
          <w:lang w:val="it-IT"/>
        </w:rPr>
        <w:t xml:space="preserve"> </w:t>
      </w:r>
      <w:proofErr w:type="spellStart"/>
      <w:r>
        <w:rPr>
          <w:sz w:val="24"/>
          <w:lang w:val="it-IT"/>
        </w:rPr>
        <w:t>Square</w:t>
      </w:r>
      <w:proofErr w:type="spellEnd"/>
      <w:r>
        <w:rPr>
          <w:sz w:val="24"/>
          <w:lang w:val="it-IT"/>
        </w:rPr>
        <w:t xml:space="preserve"> (PLS), per predire il contenuto in lipidi e polifenoli. Lo strumento MPA ha dato</w:t>
      </w:r>
      <w:r w:rsidRPr="002965D4">
        <w:rPr>
          <w:sz w:val="24"/>
          <w:lang w:val="it-IT"/>
        </w:rPr>
        <w:t xml:space="preserve"> </w:t>
      </w:r>
      <w:r>
        <w:rPr>
          <w:sz w:val="24"/>
          <w:lang w:val="it-IT"/>
        </w:rPr>
        <w:t xml:space="preserve">i </w:t>
      </w:r>
      <w:r w:rsidRPr="002965D4">
        <w:rPr>
          <w:sz w:val="24"/>
          <w:lang w:val="it-IT"/>
        </w:rPr>
        <w:t xml:space="preserve">risultati migliori sia </w:t>
      </w:r>
      <w:r>
        <w:rPr>
          <w:sz w:val="24"/>
          <w:lang w:val="it-IT"/>
        </w:rPr>
        <w:t>per</w:t>
      </w:r>
      <w:r w:rsidRPr="002965D4">
        <w:rPr>
          <w:sz w:val="24"/>
          <w:lang w:val="it-IT"/>
        </w:rPr>
        <w:t xml:space="preserve"> PCA che </w:t>
      </w:r>
      <w:r>
        <w:rPr>
          <w:sz w:val="24"/>
          <w:lang w:val="it-IT"/>
        </w:rPr>
        <w:t>per</w:t>
      </w:r>
      <w:r w:rsidRPr="002965D4">
        <w:rPr>
          <w:sz w:val="24"/>
          <w:lang w:val="it-IT"/>
        </w:rPr>
        <w:t xml:space="preserve"> i modelli di regressione. I risultati</w:t>
      </w:r>
      <w:r>
        <w:rPr>
          <w:sz w:val="24"/>
          <w:lang w:val="it-IT"/>
        </w:rPr>
        <w:t xml:space="preserve"> ottenuti</w:t>
      </w:r>
      <w:r w:rsidRPr="002965D4">
        <w:rPr>
          <w:sz w:val="24"/>
          <w:lang w:val="it-IT"/>
        </w:rPr>
        <w:t xml:space="preserve"> con PLS </w:t>
      </w:r>
      <w:r>
        <w:rPr>
          <w:sz w:val="24"/>
          <w:lang w:val="it-IT"/>
        </w:rPr>
        <w:t>in riferimento al</w:t>
      </w:r>
      <w:r w:rsidRPr="002965D4">
        <w:rPr>
          <w:sz w:val="24"/>
          <w:lang w:val="it-IT"/>
        </w:rPr>
        <w:t xml:space="preserve"> contenuto lipidico </w:t>
      </w:r>
      <w:r>
        <w:rPr>
          <w:sz w:val="24"/>
          <w:lang w:val="it-IT"/>
        </w:rPr>
        <w:t>sono</w:t>
      </w:r>
      <w:r w:rsidRPr="002965D4">
        <w:rPr>
          <w:sz w:val="24"/>
          <w:lang w:val="it-IT"/>
        </w:rPr>
        <w:t xml:space="preserve"> migliori rispetto a quelli per i</w:t>
      </w:r>
      <w:r>
        <w:rPr>
          <w:sz w:val="24"/>
          <w:lang w:val="it-IT"/>
        </w:rPr>
        <w:t>l contenuto di</w:t>
      </w:r>
      <w:r w:rsidRPr="002965D4">
        <w:rPr>
          <w:sz w:val="24"/>
          <w:lang w:val="it-IT"/>
        </w:rPr>
        <w:t xml:space="preserve"> polifenoli. La robustezza del modello è stata testata attraverso cross-</w:t>
      </w:r>
      <w:proofErr w:type="spellStart"/>
      <w:r w:rsidRPr="002965D4">
        <w:rPr>
          <w:sz w:val="24"/>
          <w:lang w:val="it-IT"/>
        </w:rPr>
        <w:t>validation</w:t>
      </w:r>
      <w:proofErr w:type="spellEnd"/>
      <w:r w:rsidRPr="002965D4">
        <w:rPr>
          <w:sz w:val="24"/>
          <w:lang w:val="it-IT"/>
        </w:rPr>
        <w:t xml:space="preserve"> e i parametri di regressione</w:t>
      </w:r>
      <w:r>
        <w:rPr>
          <w:sz w:val="24"/>
          <w:lang w:val="it-IT"/>
        </w:rPr>
        <w:t xml:space="preserve"> ottenuti</w:t>
      </w:r>
      <w:r w:rsidRPr="002965D4">
        <w:rPr>
          <w:sz w:val="24"/>
          <w:lang w:val="it-IT"/>
        </w:rPr>
        <w:t xml:space="preserve"> </w:t>
      </w:r>
      <w:r>
        <w:rPr>
          <w:sz w:val="24"/>
          <w:lang w:val="it-IT"/>
        </w:rPr>
        <w:t>sono</w:t>
      </w:r>
      <w:r w:rsidRPr="002965D4">
        <w:rPr>
          <w:sz w:val="24"/>
          <w:lang w:val="it-IT"/>
        </w:rPr>
        <w:t xml:space="preserve"> R</w:t>
      </w:r>
      <w:r w:rsidRPr="002965D4">
        <w:rPr>
          <w:sz w:val="24"/>
          <w:vertAlign w:val="superscript"/>
          <w:lang w:val="it-IT"/>
        </w:rPr>
        <w:t>2</w:t>
      </w:r>
      <w:r w:rsidRPr="002965D4">
        <w:rPr>
          <w:sz w:val="24"/>
          <w:lang w:val="it-IT"/>
        </w:rPr>
        <w:t xml:space="preserve"> = 0.807 </w:t>
      </w:r>
      <w:r>
        <w:rPr>
          <w:sz w:val="24"/>
          <w:lang w:val="it-IT"/>
        </w:rPr>
        <w:t>e</w:t>
      </w:r>
      <w:r w:rsidRPr="002965D4">
        <w:rPr>
          <w:sz w:val="24"/>
          <w:lang w:val="it-IT"/>
        </w:rPr>
        <w:t xml:space="preserve"> RMSE = 0.839 </w:t>
      </w:r>
      <w:r>
        <w:rPr>
          <w:sz w:val="24"/>
          <w:lang w:val="it-IT"/>
        </w:rPr>
        <w:t xml:space="preserve">(% contenuto lipidi) </w:t>
      </w:r>
      <w:r w:rsidRPr="002965D4">
        <w:rPr>
          <w:sz w:val="24"/>
          <w:lang w:val="it-IT"/>
        </w:rPr>
        <w:t>in calibra</w:t>
      </w:r>
      <w:r>
        <w:rPr>
          <w:sz w:val="24"/>
          <w:lang w:val="it-IT"/>
        </w:rPr>
        <w:t>zione e</w:t>
      </w:r>
      <w:r w:rsidRPr="002965D4">
        <w:rPr>
          <w:sz w:val="24"/>
          <w:lang w:val="it-IT"/>
        </w:rPr>
        <w:t xml:space="preserve"> RMSEP = 0.609</w:t>
      </w:r>
      <w:r>
        <w:rPr>
          <w:sz w:val="24"/>
          <w:lang w:val="it-IT"/>
        </w:rPr>
        <w:t xml:space="preserve"> in predizione per i lipidi, mentre gli stessi parametri per i polifenoli sono decisamente più bassi, </w:t>
      </w:r>
      <w:r w:rsidRPr="002965D4">
        <w:rPr>
          <w:sz w:val="24"/>
          <w:lang w:val="it-IT"/>
        </w:rPr>
        <w:t>rispettivamente R</w:t>
      </w:r>
      <w:r w:rsidRPr="002965D4">
        <w:rPr>
          <w:sz w:val="24"/>
          <w:vertAlign w:val="superscript"/>
          <w:lang w:val="it-IT"/>
        </w:rPr>
        <w:t>2</w:t>
      </w:r>
      <w:r w:rsidRPr="002965D4">
        <w:rPr>
          <w:sz w:val="24"/>
          <w:lang w:val="it-IT"/>
        </w:rPr>
        <w:t xml:space="preserve"> = 0.606 </w:t>
      </w:r>
      <w:r>
        <w:rPr>
          <w:sz w:val="24"/>
          <w:lang w:val="it-IT"/>
        </w:rPr>
        <w:t>e</w:t>
      </w:r>
      <w:r w:rsidRPr="002965D4">
        <w:rPr>
          <w:sz w:val="24"/>
          <w:lang w:val="it-IT"/>
        </w:rPr>
        <w:t xml:space="preserve"> RMSE = 0.621 </w:t>
      </w:r>
      <w:r w:rsidRPr="00B71A60">
        <w:rPr>
          <w:lang w:val="it-IT"/>
        </w:rPr>
        <w:t xml:space="preserve">(mg GAE/g </w:t>
      </w:r>
      <w:r>
        <w:rPr>
          <w:lang w:val="it-IT"/>
        </w:rPr>
        <w:t>nocciola</w:t>
      </w:r>
      <w:r w:rsidRPr="00B71A60">
        <w:rPr>
          <w:lang w:val="it-IT"/>
        </w:rPr>
        <w:t>)</w:t>
      </w:r>
      <w:r>
        <w:rPr>
          <w:lang w:val="it-IT"/>
        </w:rPr>
        <w:t xml:space="preserve"> </w:t>
      </w:r>
      <w:r w:rsidRPr="002965D4">
        <w:rPr>
          <w:sz w:val="24"/>
          <w:lang w:val="it-IT"/>
        </w:rPr>
        <w:t>in calibra</w:t>
      </w:r>
      <w:r>
        <w:rPr>
          <w:sz w:val="24"/>
          <w:lang w:val="it-IT"/>
        </w:rPr>
        <w:t>zione e</w:t>
      </w:r>
      <w:r w:rsidRPr="002965D4">
        <w:rPr>
          <w:sz w:val="24"/>
          <w:lang w:val="it-IT"/>
        </w:rPr>
        <w:t xml:space="preserve"> RMSEP = 1.071</w:t>
      </w:r>
      <w:r>
        <w:rPr>
          <w:sz w:val="24"/>
          <w:lang w:val="it-IT"/>
        </w:rPr>
        <w:t xml:space="preserve"> in predizione. A causa del suo range spettrale limitato nella zona vicino infrarosso, i risultati ottenuti con lo strumento portatile </w:t>
      </w:r>
      <w:proofErr w:type="spellStart"/>
      <w:r>
        <w:rPr>
          <w:sz w:val="24"/>
          <w:lang w:val="it-IT"/>
        </w:rPr>
        <w:t>SCiO</w:t>
      </w:r>
      <w:proofErr w:type="spellEnd"/>
      <w:r>
        <w:rPr>
          <w:sz w:val="24"/>
          <w:lang w:val="it-IT"/>
        </w:rPr>
        <w:t xml:space="preserve"> non sono stati considerati idonei a un’applicazione affidabile per questi scopi.</w:t>
      </w:r>
    </w:p>
    <w:p w14:paraId="6DB96E2D" w14:textId="77777777" w:rsidR="00A82E5E" w:rsidRPr="00FD50E2" w:rsidRDefault="00A82E5E" w:rsidP="00A82E5E">
      <w:pPr>
        <w:pStyle w:val="AbstractBodyText"/>
        <w:spacing w:before="240"/>
        <w:rPr>
          <w:lang w:val="it-IT"/>
        </w:rPr>
      </w:pPr>
      <w:proofErr w:type="spellStart"/>
      <w:r w:rsidRPr="00FD50E2">
        <w:rPr>
          <w:b/>
          <w:lang w:val="it-IT"/>
        </w:rPr>
        <w:t>Keywords</w:t>
      </w:r>
      <w:proofErr w:type="spellEnd"/>
      <w:r w:rsidRPr="00FD50E2">
        <w:rPr>
          <w:b/>
          <w:lang w:val="it-IT"/>
        </w:rPr>
        <w:t xml:space="preserve">: </w:t>
      </w:r>
      <w:r w:rsidRPr="00FD50E2">
        <w:rPr>
          <w:lang w:val="it-IT"/>
        </w:rPr>
        <w:t>cibo, nocciole, chemiometria, calibrazio</w:t>
      </w:r>
      <w:r>
        <w:rPr>
          <w:lang w:val="it-IT"/>
        </w:rPr>
        <w:t>ne</w:t>
      </w:r>
      <w:r w:rsidRPr="00FD50E2">
        <w:rPr>
          <w:lang w:val="it-IT"/>
        </w:rPr>
        <w:t xml:space="preserve"> NIR</w:t>
      </w:r>
    </w:p>
    <w:p w14:paraId="7DC4B3F2" w14:textId="77777777" w:rsidR="00A82E5E" w:rsidRPr="00D84828" w:rsidRDefault="00A82E5E" w:rsidP="00A82E5E">
      <w:pPr>
        <w:spacing w:before="240"/>
        <w:rPr>
          <w:lang w:val="it-IT"/>
        </w:rPr>
      </w:pPr>
      <w:r>
        <w:rPr>
          <w:b/>
          <w:lang w:val="it-IT"/>
        </w:rPr>
        <w:t>Ringraziamenti</w:t>
      </w:r>
      <w:r w:rsidRPr="001E30A1">
        <w:rPr>
          <w:b/>
          <w:lang w:val="it-IT"/>
        </w:rPr>
        <w:t xml:space="preserve">: </w:t>
      </w:r>
      <w:r w:rsidRPr="001E30A1">
        <w:rPr>
          <w:lang w:val="it-IT"/>
        </w:rPr>
        <w:t xml:space="preserve">Prof. Giuseppe Zeppa del </w:t>
      </w:r>
      <w:proofErr w:type="spellStart"/>
      <w:r w:rsidRPr="001E30A1">
        <w:rPr>
          <w:lang w:val="it-IT"/>
        </w:rPr>
        <w:t>Dip</w:t>
      </w:r>
      <w:proofErr w:type="spellEnd"/>
      <w:r w:rsidRPr="001E30A1">
        <w:rPr>
          <w:lang w:val="it-IT"/>
        </w:rPr>
        <w:t xml:space="preserve">. </w:t>
      </w:r>
      <w:r>
        <w:rPr>
          <w:lang w:val="it-IT"/>
        </w:rPr>
        <w:t>d</w:t>
      </w:r>
      <w:r w:rsidRPr="00D84828">
        <w:rPr>
          <w:lang w:val="it-IT"/>
        </w:rPr>
        <w:t xml:space="preserve">i Scienze Agricole, Forestali </w:t>
      </w:r>
      <w:r>
        <w:rPr>
          <w:lang w:val="it-IT"/>
        </w:rPr>
        <w:t>e</w:t>
      </w:r>
      <w:r w:rsidRPr="00D84828">
        <w:rPr>
          <w:lang w:val="it-IT"/>
        </w:rPr>
        <w:t xml:space="preserve"> Alimentari dell’Università di Torino, è ringraziato per aver fornito tutti i campioni di nocciole di </w:t>
      </w:r>
      <w:r>
        <w:rPr>
          <w:lang w:val="it-IT"/>
        </w:rPr>
        <w:t>diversa provenienza, tritati in modo da avere la stessa granulometria</w:t>
      </w:r>
      <w:r w:rsidRPr="00D84828">
        <w:rPr>
          <w:lang w:val="it-IT"/>
        </w:rPr>
        <w:t xml:space="preserve">. </w:t>
      </w:r>
    </w:p>
    <w:p w14:paraId="7E385800" w14:textId="77777777" w:rsidR="00A82E5E" w:rsidRPr="002E36FB" w:rsidRDefault="00A82E5E" w:rsidP="00A82E5E">
      <w:pPr>
        <w:pStyle w:val="ReferencesTitle"/>
        <w:rPr>
          <w:lang w:val="da-DK"/>
        </w:rPr>
      </w:pPr>
      <w:r w:rsidRPr="002E36FB">
        <w:rPr>
          <w:lang w:val="da-DK"/>
        </w:rPr>
        <w:t xml:space="preserve">REFERENCES </w:t>
      </w:r>
    </w:p>
    <w:sdt>
      <w:sdtPr>
        <w:rPr>
          <w:sz w:val="22"/>
        </w:rPr>
        <w:id w:val="1172770918"/>
        <w:bibliography/>
      </w:sdtPr>
      <w:sdtContent>
        <w:p w14:paraId="5294F966" w14:textId="77777777" w:rsidR="00A82E5E" w:rsidRDefault="00A82E5E" w:rsidP="00A82E5E">
          <w:pPr>
            <w:pStyle w:val="Bibliografia"/>
            <w:ind w:left="720" w:hanging="720"/>
            <w:rPr>
              <w:noProof/>
              <w:lang w:val="en-GB"/>
            </w:rPr>
          </w:pPr>
          <w:r>
            <w:fldChar w:fldCharType="begin"/>
          </w:r>
          <w:r w:rsidRPr="002E36FB">
            <w:rPr>
              <w:lang w:val="da-DK"/>
            </w:rPr>
            <w:instrText>BIBLIOGRAPHY</w:instrText>
          </w:r>
          <w:r>
            <w:fldChar w:fldCharType="separate"/>
          </w:r>
          <w:r w:rsidRPr="002E36FB">
            <w:rPr>
              <w:noProof/>
              <w:lang w:val="da-DK"/>
            </w:rPr>
            <w:t xml:space="preserve">Köksal, A. I., Artik, N., Şimşek, A., &amp; Güneş, N. (2006). </w:t>
          </w:r>
          <w:r>
            <w:rPr>
              <w:noProof/>
              <w:lang w:val="en-GB"/>
            </w:rPr>
            <w:t>Nutrient composition of hazelnut (</w:t>
          </w:r>
          <w:r w:rsidRPr="00F26A14">
            <w:rPr>
              <w:i/>
              <w:iCs/>
              <w:noProof/>
              <w:lang w:val="en-GB"/>
            </w:rPr>
            <w:t>Corylus avellana</w:t>
          </w:r>
          <w:r>
            <w:rPr>
              <w:noProof/>
              <w:lang w:val="en-GB"/>
            </w:rPr>
            <w:t xml:space="preserve"> L.) varieties cultivated in Turkey. </w:t>
          </w:r>
          <w:r>
            <w:rPr>
              <w:i/>
              <w:iCs/>
              <w:noProof/>
              <w:lang w:val="en-GB"/>
            </w:rPr>
            <w:t>Food Chemistry, 99</w:t>
          </w:r>
          <w:r>
            <w:rPr>
              <w:noProof/>
              <w:lang w:val="en-GB"/>
            </w:rPr>
            <w:t>, 509-515.</w:t>
          </w:r>
        </w:p>
        <w:p w14:paraId="3830B292" w14:textId="77777777" w:rsidR="00A82E5E" w:rsidRDefault="00A82E5E" w:rsidP="00A82E5E">
          <w:pPr>
            <w:pStyle w:val="Bibliografia"/>
            <w:ind w:left="720" w:hanging="720"/>
            <w:rPr>
              <w:noProof/>
              <w:lang w:val="en-GB"/>
            </w:rPr>
          </w:pPr>
          <w:r>
            <w:rPr>
              <w:noProof/>
              <w:lang w:val="en-GB"/>
            </w:rPr>
            <w:t>Oliveira, I., Sousa, A., Sa Morais, J., Ferreira, I. C., Bento, A., Estevinho, L., &amp; Pereira, J. A. (2008). Chemical composition, and antioxidant and microbial activities of three hazelnut (</w:t>
          </w:r>
          <w:r w:rsidRPr="00F26A14">
            <w:rPr>
              <w:i/>
              <w:iCs/>
              <w:noProof/>
              <w:lang w:val="en-GB"/>
            </w:rPr>
            <w:t>Corylus avellana</w:t>
          </w:r>
          <w:r>
            <w:rPr>
              <w:noProof/>
              <w:lang w:val="en-GB"/>
            </w:rPr>
            <w:t xml:space="preserve"> L.) cultivars. </w:t>
          </w:r>
          <w:r>
            <w:rPr>
              <w:i/>
              <w:iCs/>
              <w:noProof/>
              <w:lang w:val="en-GB"/>
            </w:rPr>
            <w:t>Food and Chemical Toxicology</w:t>
          </w:r>
          <w:r>
            <w:rPr>
              <w:noProof/>
              <w:lang w:val="en-GB"/>
            </w:rPr>
            <w:t>, 1801-1807.</w:t>
          </w:r>
        </w:p>
        <w:p w14:paraId="0B6D87FE" w14:textId="22BFCAB4" w:rsidR="009D2014" w:rsidRPr="00A82E5E" w:rsidRDefault="00A82E5E" w:rsidP="00A82E5E">
          <w:pPr>
            <w:pStyle w:val="Reference"/>
            <w:ind w:left="0" w:right="-2" w:firstLine="0"/>
            <w:rPr>
              <w:sz w:val="24"/>
              <w:lang w:val="it-IT"/>
            </w:rPr>
          </w:pPr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sectPr w:rsidR="009D2014" w:rsidRPr="00A82E5E" w:rsidSect="00A82E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28" w:right="1418" w:bottom="1035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14E5" w14:textId="77777777" w:rsidR="00C55328" w:rsidRDefault="00C55328">
      <w:r>
        <w:separator/>
      </w:r>
    </w:p>
  </w:endnote>
  <w:endnote w:type="continuationSeparator" w:id="0">
    <w:p w14:paraId="1ED80D08" w14:textId="77777777" w:rsidR="00C55328" w:rsidRDefault="00C55328">
      <w:r>
        <w:continuationSeparator/>
      </w:r>
    </w:p>
  </w:endnote>
  <w:endnote w:type="continuationNotice" w:id="1">
    <w:p w14:paraId="6F3EB977" w14:textId="77777777" w:rsidR="00C55328" w:rsidRDefault="00C55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6875" w14:textId="77777777" w:rsidR="00F61F07" w:rsidRDefault="00F61F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17F5" w14:textId="77777777" w:rsidR="00F61F07" w:rsidRDefault="00F61F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4AEE" w14:textId="77777777" w:rsidR="00F61F07" w:rsidRDefault="00F61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8982" w14:textId="77777777" w:rsidR="00C55328" w:rsidRDefault="00C55328">
      <w:r>
        <w:separator/>
      </w:r>
    </w:p>
  </w:footnote>
  <w:footnote w:type="continuationSeparator" w:id="0">
    <w:p w14:paraId="044CA180" w14:textId="77777777" w:rsidR="00C55328" w:rsidRDefault="00C55328">
      <w:r>
        <w:continuationSeparator/>
      </w:r>
    </w:p>
  </w:footnote>
  <w:footnote w:type="continuationNotice" w:id="1">
    <w:p w14:paraId="440C1BC9" w14:textId="77777777" w:rsidR="00C55328" w:rsidRDefault="00C55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18E4" w14:textId="77777777" w:rsidR="00045DD5" w:rsidRDefault="00045DD5">
    <w:pPr>
      <w:pStyle w:val="Intestazione"/>
    </w:pPr>
  </w:p>
  <w:p w14:paraId="4865C848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3647DD2" wp14:editId="413B86D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1B25BEC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0B31" w14:textId="77777777" w:rsidR="00B57FD3" w:rsidRDefault="00B57FD3">
    <w:pPr>
      <w:pStyle w:val="Intestazione"/>
    </w:pPr>
  </w:p>
  <w:p w14:paraId="3FB5125E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A9FDB8" wp14:editId="6477241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1F0167C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85458" w14:textId="52623779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/>
        <w:bCs/>
        <w:noProof/>
        <w:lang w:eastAsia="en-US"/>
      </w:rPr>
    </w:pPr>
    <w:r w:rsidRPr="00045DD5">
      <w:rPr>
        <w:b/>
        <w:bCs/>
        <w:noProof/>
        <w:lang w:eastAsia="en-US"/>
      </w:rPr>
      <w:drawing>
        <wp:anchor distT="0" distB="0" distL="114935" distR="114935" simplePos="0" relativeHeight="251658243" behindDoc="0" locked="0" layoutInCell="1" allowOverlap="1" wp14:anchorId="535839C9" wp14:editId="5908F3C4">
          <wp:simplePos x="0" y="0"/>
          <wp:positionH relativeFrom="column">
            <wp:posOffset>1157605</wp:posOffset>
          </wp:positionH>
          <wp:positionV relativeFrom="paragraph">
            <wp:posOffset>-144780</wp:posOffset>
          </wp:positionV>
          <wp:extent cx="1089126" cy="59197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9126" cy="59197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30C">
      <w:rPr>
        <w:bCs/>
        <w:i/>
        <w:iCs/>
        <w:noProof/>
        <w:sz w:val="20"/>
        <w:szCs w:val="20"/>
      </w:rPr>
      <w:drawing>
        <wp:anchor distT="0" distB="0" distL="114300" distR="114300" simplePos="0" relativeHeight="251659267" behindDoc="0" locked="0" layoutInCell="1" allowOverlap="1" wp14:anchorId="2EE53978" wp14:editId="0B59F8BB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1120198" cy="428449"/>
          <wp:effectExtent l="0" t="0" r="3810" b="0"/>
          <wp:wrapNone/>
          <wp:docPr id="15" name="Immagine 21">
            <a:extLst xmlns:a="http://schemas.openxmlformats.org/drawingml/2006/main">
              <a:ext uri="{FF2B5EF4-FFF2-40B4-BE49-F238E27FC236}">
                <a16:creationId xmlns:a16="http://schemas.microsoft.com/office/drawing/2014/main" id="{95C1CDEF-D8FD-440A-9148-6C5C17422C6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21">
                    <a:extLst>
                      <a:ext uri="{FF2B5EF4-FFF2-40B4-BE49-F238E27FC236}">
                        <a16:creationId xmlns:a16="http://schemas.microsoft.com/office/drawing/2014/main" id="{95C1CDEF-D8FD-440A-9148-6C5C17422C6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0" t="23716" r="5076" b="16247"/>
                  <a:stretch/>
                </pic:blipFill>
                <pic:spPr>
                  <a:xfrm>
                    <a:off x="0" y="0"/>
                    <a:ext cx="1120198" cy="42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en-US"/>
      </w:rPr>
      <w:t>NIR ITALIA 202</w:t>
    </w:r>
    <w:r w:rsidR="00444124">
      <w:rPr>
        <w:b/>
        <w:bCs/>
        <w:noProof/>
        <w:lang w:eastAsia="en-US"/>
      </w:rPr>
      <w:t>2</w:t>
    </w:r>
  </w:p>
  <w:p w14:paraId="73F60BF0" w14:textId="77777777" w:rsidR="00F46A13" w:rsidRDefault="0071430C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ab/>
    </w:r>
    <w:r w:rsidRPr="0071430C">
      <w:rPr>
        <w:bCs/>
        <w:i/>
        <w:iCs/>
        <w:sz w:val="20"/>
        <w:szCs w:val="20"/>
      </w:rPr>
      <w:t>9th National Symposium of NIR Spectroscopy</w:t>
    </w:r>
  </w:p>
  <w:p w14:paraId="3272153E" w14:textId="34DA3E76" w:rsidR="00B57FD3" w:rsidRPr="0071430C" w:rsidRDefault="00444124" w:rsidP="00F46A13">
    <w:pPr>
      <w:pStyle w:val="Intestazione"/>
      <w:tabs>
        <w:tab w:val="left" w:pos="2268"/>
        <w:tab w:val="left" w:pos="3119"/>
        <w:tab w:val="right" w:pos="9072"/>
      </w:tabs>
      <w:ind w:left="2772" w:firstLine="2268"/>
      <w:jc w:val="both"/>
    </w:pPr>
    <w:r>
      <w:rPr>
        <w:bCs/>
        <w:iCs/>
        <w:sz w:val="20"/>
        <w:szCs w:val="20"/>
      </w:rPr>
      <w:t>Izola</w:t>
    </w:r>
    <w:r w:rsidR="00F17B89" w:rsidRPr="0071430C">
      <w:rPr>
        <w:bCs/>
        <w:iCs/>
        <w:sz w:val="20"/>
        <w:szCs w:val="20"/>
      </w:rPr>
      <w:t xml:space="preserve">, </w:t>
    </w:r>
    <w:r w:rsidR="00045DD5" w:rsidRPr="0071430C">
      <w:rPr>
        <w:bCs/>
        <w:iCs/>
        <w:sz w:val="20"/>
        <w:szCs w:val="20"/>
      </w:rPr>
      <w:t>Slovenia</w:t>
    </w:r>
    <w:r w:rsidR="0071430C">
      <w:rPr>
        <w:bCs/>
        <w:iCs/>
        <w:sz w:val="20"/>
        <w:szCs w:val="20"/>
      </w:rPr>
      <w:t>,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7-9</w:t>
    </w:r>
    <w:r w:rsidR="00F17B89" w:rsidRPr="0071430C">
      <w:rPr>
        <w:bCs/>
        <w:iCs/>
        <w:sz w:val="20"/>
        <w:szCs w:val="20"/>
      </w:rPr>
      <w:t xml:space="preserve"> </w:t>
    </w:r>
    <w:r>
      <w:rPr>
        <w:bCs/>
        <w:iCs/>
        <w:sz w:val="20"/>
        <w:szCs w:val="20"/>
      </w:rPr>
      <w:t>June</w:t>
    </w:r>
    <w:r w:rsidR="00F17B89" w:rsidRPr="0071430C">
      <w:rPr>
        <w:bCs/>
        <w:iCs/>
        <w:sz w:val="20"/>
        <w:szCs w:val="20"/>
      </w:rPr>
      <w:t xml:space="preserve"> 20</w:t>
    </w:r>
    <w:r w:rsidR="00045DD5" w:rsidRPr="0071430C">
      <w:rPr>
        <w:bCs/>
        <w:iCs/>
        <w:sz w:val="20"/>
        <w:szCs w:val="20"/>
      </w:rPr>
      <w:t>2</w:t>
    </w:r>
    <w:r w:rsidR="0075458F">
      <w:rPr>
        <w:bCs/>
        <w:iCs/>
        <w:sz w:val="20"/>
        <w:szCs w:val="20"/>
      </w:rPr>
      <w:t>2</w:t>
    </w:r>
  </w:p>
  <w:p w14:paraId="5DA5C4B0" w14:textId="77777777" w:rsidR="008846B7" w:rsidRDefault="00A46E8D"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7643D656" wp14:editId="238297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5282943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MainHeading"/>
      <w:lvlText w:val="%1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  <w:lvl w:ilvl="1">
      <w:start w:val="1"/>
      <w:numFmt w:val="decimal"/>
      <w:pStyle w:val="SecondaryHeading"/>
      <w:lvlText w:val="%1.%2"/>
      <w:lvlJc w:val="left"/>
      <w:pPr>
        <w:tabs>
          <w:tab w:val="num" w:pos="624"/>
        </w:tabs>
        <w:ind w:left="340" w:hanging="340"/>
      </w:pPr>
      <w:rPr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List1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170"/>
      </w:pPr>
    </w:lvl>
  </w:abstractNum>
  <w:num w:numId="1" w16cid:durableId="207569027">
    <w:abstractNumId w:val="0"/>
  </w:num>
  <w:num w:numId="2" w16cid:durableId="1089044186">
    <w:abstractNumId w:val="1"/>
  </w:num>
  <w:num w:numId="3" w16cid:durableId="2027825234">
    <w:abstractNumId w:val="2"/>
  </w:num>
  <w:num w:numId="4" w16cid:durableId="848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MzYxNjI3MzEzMjBU0lEKTi0uzszPAykwrAUAjobS6iwAAAA="/>
  </w:docVars>
  <w:rsids>
    <w:rsidRoot w:val="00B01496"/>
    <w:rsid w:val="00020874"/>
    <w:rsid w:val="00020F34"/>
    <w:rsid w:val="0002768C"/>
    <w:rsid w:val="00042703"/>
    <w:rsid w:val="00045DD5"/>
    <w:rsid w:val="00060D5D"/>
    <w:rsid w:val="00064BDC"/>
    <w:rsid w:val="000D3FD8"/>
    <w:rsid w:val="000E0151"/>
    <w:rsid w:val="000E3EF9"/>
    <w:rsid w:val="000F70B6"/>
    <w:rsid w:val="000F7EDE"/>
    <w:rsid w:val="00102F08"/>
    <w:rsid w:val="001443D3"/>
    <w:rsid w:val="00196FE5"/>
    <w:rsid w:val="001A3BAC"/>
    <w:rsid w:val="001A45A4"/>
    <w:rsid w:val="001A7F2A"/>
    <w:rsid w:val="001B10FA"/>
    <w:rsid w:val="001C41F5"/>
    <w:rsid w:val="001E30A1"/>
    <w:rsid w:val="00202D8E"/>
    <w:rsid w:val="002055D6"/>
    <w:rsid w:val="00220422"/>
    <w:rsid w:val="00261188"/>
    <w:rsid w:val="002965D4"/>
    <w:rsid w:val="002A13F3"/>
    <w:rsid w:val="002D169D"/>
    <w:rsid w:val="002E36FB"/>
    <w:rsid w:val="00320318"/>
    <w:rsid w:val="00331643"/>
    <w:rsid w:val="00342349"/>
    <w:rsid w:val="0037433D"/>
    <w:rsid w:val="00397F6E"/>
    <w:rsid w:val="003C6561"/>
    <w:rsid w:val="003D115C"/>
    <w:rsid w:val="00412A1F"/>
    <w:rsid w:val="00440A18"/>
    <w:rsid w:val="00444124"/>
    <w:rsid w:val="0044682B"/>
    <w:rsid w:val="00463F1B"/>
    <w:rsid w:val="00470C84"/>
    <w:rsid w:val="00485498"/>
    <w:rsid w:val="004A56A0"/>
    <w:rsid w:val="004B5D67"/>
    <w:rsid w:val="004D29B7"/>
    <w:rsid w:val="004D76A4"/>
    <w:rsid w:val="00507C6D"/>
    <w:rsid w:val="00554AFE"/>
    <w:rsid w:val="005555C9"/>
    <w:rsid w:val="00556D21"/>
    <w:rsid w:val="00574A27"/>
    <w:rsid w:val="005900E8"/>
    <w:rsid w:val="005D5995"/>
    <w:rsid w:val="00611342"/>
    <w:rsid w:val="00631A80"/>
    <w:rsid w:val="00640719"/>
    <w:rsid w:val="00641C2C"/>
    <w:rsid w:val="006608C7"/>
    <w:rsid w:val="00671BB7"/>
    <w:rsid w:val="006922BB"/>
    <w:rsid w:val="006A2C85"/>
    <w:rsid w:val="006C0A58"/>
    <w:rsid w:val="006C17A0"/>
    <w:rsid w:val="006D08FE"/>
    <w:rsid w:val="006E7F9B"/>
    <w:rsid w:val="0071430C"/>
    <w:rsid w:val="00734F85"/>
    <w:rsid w:val="00750006"/>
    <w:rsid w:val="00751562"/>
    <w:rsid w:val="0075458F"/>
    <w:rsid w:val="00774A4F"/>
    <w:rsid w:val="007934E7"/>
    <w:rsid w:val="0079648F"/>
    <w:rsid w:val="007C132F"/>
    <w:rsid w:val="007C7208"/>
    <w:rsid w:val="007D3B1A"/>
    <w:rsid w:val="008475F2"/>
    <w:rsid w:val="00865DD9"/>
    <w:rsid w:val="008846B7"/>
    <w:rsid w:val="00892487"/>
    <w:rsid w:val="00892C18"/>
    <w:rsid w:val="0089766E"/>
    <w:rsid w:val="008B297E"/>
    <w:rsid w:val="008F0637"/>
    <w:rsid w:val="008F7BE9"/>
    <w:rsid w:val="00907A81"/>
    <w:rsid w:val="00933229"/>
    <w:rsid w:val="009706EB"/>
    <w:rsid w:val="009A457F"/>
    <w:rsid w:val="009D2014"/>
    <w:rsid w:val="009D7944"/>
    <w:rsid w:val="00A46E8D"/>
    <w:rsid w:val="00A82E5E"/>
    <w:rsid w:val="00A838F6"/>
    <w:rsid w:val="00A87529"/>
    <w:rsid w:val="00AD4E74"/>
    <w:rsid w:val="00AE280C"/>
    <w:rsid w:val="00B01496"/>
    <w:rsid w:val="00B50970"/>
    <w:rsid w:val="00B54859"/>
    <w:rsid w:val="00B57A4B"/>
    <w:rsid w:val="00B57FD3"/>
    <w:rsid w:val="00B672C5"/>
    <w:rsid w:val="00B71A60"/>
    <w:rsid w:val="00B96BA0"/>
    <w:rsid w:val="00BA1491"/>
    <w:rsid w:val="00BA60B0"/>
    <w:rsid w:val="00BE566A"/>
    <w:rsid w:val="00BE75AE"/>
    <w:rsid w:val="00C00A23"/>
    <w:rsid w:val="00C05A74"/>
    <w:rsid w:val="00C141DE"/>
    <w:rsid w:val="00C20F91"/>
    <w:rsid w:val="00C46835"/>
    <w:rsid w:val="00C5173C"/>
    <w:rsid w:val="00C55328"/>
    <w:rsid w:val="00C707E7"/>
    <w:rsid w:val="00C77C40"/>
    <w:rsid w:val="00C96530"/>
    <w:rsid w:val="00CA258B"/>
    <w:rsid w:val="00CD7056"/>
    <w:rsid w:val="00CD7DBA"/>
    <w:rsid w:val="00D03E34"/>
    <w:rsid w:val="00D52212"/>
    <w:rsid w:val="00D715C4"/>
    <w:rsid w:val="00D77527"/>
    <w:rsid w:val="00D84259"/>
    <w:rsid w:val="00D84828"/>
    <w:rsid w:val="00DA008B"/>
    <w:rsid w:val="00DC4224"/>
    <w:rsid w:val="00DC5A9C"/>
    <w:rsid w:val="00E22378"/>
    <w:rsid w:val="00E47876"/>
    <w:rsid w:val="00E70FA3"/>
    <w:rsid w:val="00E93DD2"/>
    <w:rsid w:val="00E945E3"/>
    <w:rsid w:val="00E96970"/>
    <w:rsid w:val="00ED036A"/>
    <w:rsid w:val="00ED41F8"/>
    <w:rsid w:val="00EE28B5"/>
    <w:rsid w:val="00EE6CF5"/>
    <w:rsid w:val="00EE6FC1"/>
    <w:rsid w:val="00F00CCE"/>
    <w:rsid w:val="00F14F3F"/>
    <w:rsid w:val="00F17B89"/>
    <w:rsid w:val="00F26A14"/>
    <w:rsid w:val="00F42E9D"/>
    <w:rsid w:val="00F46A13"/>
    <w:rsid w:val="00F61F07"/>
    <w:rsid w:val="00F874C9"/>
    <w:rsid w:val="00FD2894"/>
    <w:rsid w:val="00FD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208E0CA"/>
  <w15:chartTrackingRefBased/>
  <w15:docId w15:val="{98E65076-6FC2-444C-93E1-A8D796D2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adpis"/>
    <w:next w:val="Corpotesto"/>
    <w:qFormat/>
    <w:pPr>
      <w:numPr>
        <w:ilvl w:val="3"/>
        <w:numId w:val="2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Standardnpsmoodstavce">
    <w:name w:val="Standardní písmo odstavc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  <w:rPr>
      <w:sz w:val="24"/>
    </w:rPr>
  </w:style>
  <w:style w:type="character" w:customStyle="1" w:styleId="WW8Num8z0">
    <w:name w:val="WW8Num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  <w:rPr>
      <w:sz w:val="24"/>
    </w:rPr>
  </w:style>
  <w:style w:type="character" w:customStyle="1" w:styleId="WW8Num9z0">
    <w:name w:val="WW8Num9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Pr>
      <w:sz w:val="24"/>
    </w:rPr>
  </w:style>
  <w:style w:type="character" w:customStyle="1" w:styleId="WW8Num10z0">
    <w:name w:val="WW8Num10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Pr>
      <w:sz w:val="24"/>
    </w:rPr>
  </w:style>
  <w:style w:type="character" w:customStyle="1" w:styleId="WW8Num11z0">
    <w:name w:val="WW8Num1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Pr>
      <w:sz w:val="24"/>
    </w:rPr>
  </w:style>
  <w:style w:type="character" w:customStyle="1" w:styleId="WW8Num12z0">
    <w:name w:val="WW8Num12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sz w:val="24"/>
    </w:rPr>
  </w:style>
  <w:style w:type="character" w:customStyle="1" w:styleId="WW8Num13z0">
    <w:name w:val="WW8Num13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sz w:val="24"/>
    </w:rPr>
  </w:style>
  <w:style w:type="character" w:customStyle="1" w:styleId="WW8Num14z0">
    <w:name w:val="WW8Num14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Pr>
      <w:sz w:val="24"/>
    </w:rPr>
  </w:style>
  <w:style w:type="character" w:customStyle="1" w:styleId="WW8Num15z0">
    <w:name w:val="WW8Num15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Pr>
      <w:sz w:val="24"/>
    </w:rPr>
  </w:style>
  <w:style w:type="character" w:customStyle="1" w:styleId="WW8Num16z0">
    <w:name w:val="WW8Num16z0"/>
    <w:rPr>
      <w:rFonts w:ascii="Times New Roman" w:eastAsia="MS Gothic" w:hAnsi="Times New Roman"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sz w:val="24"/>
    </w:rPr>
  </w:style>
  <w:style w:type="character" w:customStyle="1" w:styleId="WW8Num18z0">
    <w:name w:val="WW8Num18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8z1">
    <w:name w:val="WW8Num18z1"/>
    <w:rPr>
      <w:sz w:val="24"/>
    </w:rPr>
  </w:style>
  <w:style w:type="character" w:customStyle="1" w:styleId="WW8Num19z0">
    <w:name w:val="WW8Num19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  <w:rPr>
      <w:sz w:val="24"/>
    </w:rPr>
  </w:style>
  <w:style w:type="character" w:customStyle="1" w:styleId="WW8Num21z0">
    <w:name w:val="WW8Num21z0"/>
    <w:rPr>
      <w:rFonts w:ascii="Times New Roman" w:eastAsia="MS Gothic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1">
    <w:name w:val="WW8Num21z1"/>
    <w:rPr>
      <w:sz w:val="24"/>
    </w:rPr>
  </w:style>
  <w:style w:type="character" w:customStyle="1" w:styleId="Fuentedeprrafopredeter">
    <w:name w:val="Fuente de párrafo predeter."/>
  </w:style>
  <w:style w:type="character" w:styleId="Numeropagina">
    <w:name w:val="page number"/>
    <w:basedOn w:val="Fuentedeprrafopredeter"/>
  </w:style>
  <w:style w:type="character" w:styleId="Collegamentoipertestuale">
    <w:name w:val="Hyperlink"/>
    <w:rPr>
      <w:color w:val="0000FF"/>
      <w:u w:val="single"/>
    </w:rPr>
  </w:style>
  <w:style w:type="character" w:customStyle="1" w:styleId="MTEquationSection">
    <w:name w:val="MTEquationSection"/>
    <w:rPr>
      <w:vanish/>
      <w:color w:val="FF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n-US" w:eastAsia="zh-CN"/>
    </w:rPr>
  </w:style>
  <w:style w:type="character" w:customStyle="1" w:styleId="CaptiontitletableChar">
    <w:name w:val="Caption title table Char"/>
    <w:rPr>
      <w:rFonts w:ascii="Arial" w:eastAsia="Times New Roman" w:hAnsi="Arial" w:cs="Arial"/>
      <w:b/>
      <w:i/>
      <w:sz w:val="18"/>
      <w:szCs w:val="24"/>
      <w:lang w:val="en-GB"/>
    </w:rPr>
  </w:style>
  <w:style w:type="character" w:customStyle="1" w:styleId="ZhlavChar">
    <w:name w:val="Záhlaví Char"/>
    <w:rPr>
      <w:rFonts w:eastAsia="SimSun"/>
      <w:sz w:val="24"/>
      <w:szCs w:val="24"/>
      <w:lang w:val="en-US" w:eastAsia="zh-CN"/>
    </w:rPr>
  </w:style>
  <w:style w:type="character" w:customStyle="1" w:styleId="TextbublinyChar">
    <w:name w:val="Text bubliny Char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FreeSans"/>
    </w:rPr>
  </w:style>
  <w:style w:type="paragraph" w:customStyle="1" w:styleId="Nadpis">
    <w:name w:val="Nadpis"/>
    <w:basedOn w:val="Normale"/>
    <w:next w:val="Corpotes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Titulek">
    <w:name w:val="Titulek"/>
    <w:basedOn w:val="Normal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e"/>
    <w:pPr>
      <w:suppressLineNumbers/>
    </w:pPr>
  </w:style>
  <w:style w:type="paragraph" w:customStyle="1" w:styleId="AbstractTitle">
    <w:name w:val="Abstract Title"/>
    <w:basedOn w:val="Normale"/>
    <w:next w:val="Author"/>
    <w:rsid w:val="00470C84"/>
    <w:pPr>
      <w:spacing w:before="567"/>
      <w:jc w:val="center"/>
    </w:pPr>
    <w:rPr>
      <w:rFonts w:eastAsia="Times New Roman"/>
      <w:b/>
      <w:sz w:val="28"/>
    </w:rPr>
  </w:style>
  <w:style w:type="paragraph" w:customStyle="1" w:styleId="Author">
    <w:name w:val="Author"/>
    <w:basedOn w:val="Normale"/>
    <w:pPr>
      <w:spacing w:before="240"/>
      <w:jc w:val="center"/>
    </w:pPr>
    <w:rPr>
      <w:b/>
    </w:rPr>
  </w:style>
  <w:style w:type="paragraph" w:customStyle="1" w:styleId="Affiliation">
    <w:name w:val="Affiliation"/>
    <w:basedOn w:val="Normale"/>
    <w:pPr>
      <w:spacing w:before="240"/>
      <w:jc w:val="center"/>
    </w:pPr>
    <w:rPr>
      <w:sz w:val="22"/>
    </w:rPr>
  </w:style>
  <w:style w:type="paragraph" w:customStyle="1" w:styleId="EditorialHeading">
    <w:name w:val="EditorialHeading"/>
    <w:basedOn w:val="Normale"/>
    <w:pPr>
      <w:spacing w:before="60"/>
      <w:contextualSpacing/>
      <w:jc w:val="right"/>
    </w:pPr>
    <w:rPr>
      <w:sz w:val="16"/>
    </w:rPr>
  </w:style>
  <w:style w:type="paragraph" w:customStyle="1" w:styleId="Keywords">
    <w:name w:val="Keywords"/>
    <w:basedOn w:val="Normale"/>
    <w:pPr>
      <w:spacing w:before="227"/>
    </w:pPr>
    <w:rPr>
      <w:i/>
      <w:sz w:val="22"/>
    </w:rPr>
  </w:style>
  <w:style w:type="paragraph" w:customStyle="1" w:styleId="Abstract">
    <w:name w:val="Abstract"/>
    <w:basedOn w:val="Normale"/>
    <w:pPr>
      <w:spacing w:before="283"/>
      <w:jc w:val="both"/>
    </w:pPr>
    <w:rPr>
      <w:i/>
      <w:sz w:val="22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customStyle="1" w:styleId="AuthorHeading">
    <w:name w:val="AuthorHeading"/>
    <w:basedOn w:val="Normale"/>
    <w:pPr>
      <w:pBdr>
        <w:bottom w:val="single" w:sz="8" w:space="1" w:color="000000"/>
      </w:pBdr>
      <w:jc w:val="center"/>
    </w:pPr>
    <w:rPr>
      <w:sz w:val="20"/>
    </w:rPr>
  </w:style>
  <w:style w:type="paragraph" w:customStyle="1" w:styleId="MainHeading">
    <w:name w:val="MainHeading"/>
    <w:basedOn w:val="Titolo1"/>
    <w:pPr>
      <w:numPr>
        <w:numId w:val="2"/>
      </w:numPr>
      <w:snapToGrid w:val="0"/>
      <w:spacing w:after="120"/>
      <w:ind w:left="0" w:firstLine="0"/>
    </w:pPr>
    <w:rPr>
      <w:rFonts w:ascii="Times New Roman" w:hAnsi="Times New Roman" w:cs="Times New Roman"/>
      <w:caps/>
      <w:sz w:val="24"/>
    </w:rPr>
  </w:style>
  <w:style w:type="paragraph" w:customStyle="1" w:styleId="SecondaryHeading">
    <w:name w:val="SecondaryHeading"/>
    <w:basedOn w:val="Titolo2"/>
    <w:pPr>
      <w:numPr>
        <w:ilvl w:val="1"/>
        <w:numId w:val="2"/>
      </w:numPr>
      <w:spacing w:after="120"/>
    </w:pPr>
    <w:rPr>
      <w:rFonts w:ascii="Times New Roman" w:hAnsi="Times New Roman" w:cs="Times New Roman"/>
      <w:i w:val="0"/>
      <w:sz w:val="24"/>
    </w:rPr>
  </w:style>
  <w:style w:type="paragraph" w:customStyle="1" w:styleId="AbstractBodyText">
    <w:name w:val="Abstract Body Text"/>
    <w:basedOn w:val="Normale"/>
    <w:rsid w:val="00A46E8D"/>
    <w:pPr>
      <w:suppressAutoHyphens/>
      <w:spacing w:before="360"/>
      <w:jc w:val="both"/>
    </w:pPr>
  </w:style>
  <w:style w:type="paragraph" w:customStyle="1" w:styleId="FigureCaption">
    <w:name w:val="FigureCaption"/>
    <w:basedOn w:val="Normale"/>
    <w:next w:val="AbstractBodyText"/>
    <w:pPr>
      <w:snapToGrid w:val="0"/>
      <w:spacing w:before="120" w:after="240"/>
      <w:jc w:val="center"/>
    </w:pPr>
    <w:rPr>
      <w:sz w:val="20"/>
    </w:rPr>
  </w:style>
  <w:style w:type="paragraph" w:customStyle="1" w:styleId="Figure">
    <w:name w:val="Figure"/>
    <w:basedOn w:val="Normale"/>
    <w:next w:val="FigureCaption"/>
    <w:pPr>
      <w:spacing w:before="240" w:after="120"/>
      <w:jc w:val="center"/>
    </w:pPr>
  </w:style>
  <w:style w:type="paragraph" w:customStyle="1" w:styleId="Equation">
    <w:name w:val="Equation"/>
    <w:basedOn w:val="Normale"/>
    <w:next w:val="AbstractBodyText"/>
    <w:pPr>
      <w:spacing w:before="120" w:after="120"/>
      <w:jc w:val="center"/>
    </w:pPr>
  </w:style>
  <w:style w:type="paragraph" w:customStyle="1" w:styleId="Epgrafe">
    <w:name w:val="Epígrafe"/>
    <w:basedOn w:val="Normale"/>
    <w:next w:val="Normale"/>
    <w:rPr>
      <w:b/>
      <w:bCs/>
      <w:sz w:val="20"/>
      <w:szCs w:val="20"/>
    </w:rPr>
  </w:style>
  <w:style w:type="paragraph" w:customStyle="1" w:styleId="TableCaption">
    <w:name w:val="TableCaption"/>
    <w:basedOn w:val="FigureCaption"/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Listaconvietas">
    <w:name w:val="Lista con viñetas"/>
    <w:basedOn w:val="Normale"/>
  </w:style>
  <w:style w:type="paragraph" w:customStyle="1" w:styleId="List1">
    <w:name w:val="List1"/>
    <w:basedOn w:val="Listaconvietas"/>
    <w:pPr>
      <w:numPr>
        <w:numId w:val="3"/>
      </w:numPr>
      <w:spacing w:after="120"/>
      <w:jc w:val="both"/>
    </w:pPr>
  </w:style>
  <w:style w:type="paragraph" w:customStyle="1" w:styleId="ReferencesTitle">
    <w:name w:val="References Title"/>
    <w:basedOn w:val="Normale"/>
    <w:rsid w:val="00470C84"/>
    <w:pPr>
      <w:spacing w:before="360" w:after="120"/>
    </w:pPr>
    <w:rPr>
      <w:b/>
      <w:caps/>
    </w:rPr>
  </w:style>
  <w:style w:type="paragraph" w:customStyle="1" w:styleId="Reference">
    <w:name w:val="Reference"/>
    <w:basedOn w:val="Normale"/>
    <w:rsid w:val="00470C84"/>
    <w:pPr>
      <w:spacing w:after="120"/>
      <w:ind w:left="425" w:hanging="425"/>
    </w:pPr>
    <w:rPr>
      <w:sz w:val="22"/>
    </w:rPr>
  </w:style>
  <w:style w:type="paragraph" w:customStyle="1" w:styleId="MTDisplayEquation">
    <w:name w:val="MTDisplayEquation"/>
    <w:basedOn w:val="Equation"/>
    <w:next w:val="Normale"/>
    <w:pPr>
      <w:tabs>
        <w:tab w:val="center" w:pos="4540"/>
        <w:tab w:val="right" w:pos="9080"/>
      </w:tabs>
    </w:pPr>
  </w:style>
  <w:style w:type="paragraph" w:customStyle="1" w:styleId="MainHeadingFirst">
    <w:name w:val="MainHeadingFirst"/>
    <w:basedOn w:val="MainHeading"/>
    <w:next w:val="AbstractBodyText"/>
    <w:pPr>
      <w:numPr>
        <w:numId w:val="0"/>
      </w:numPr>
      <w:spacing w:before="0"/>
    </w:pPr>
  </w:style>
  <w:style w:type="paragraph" w:customStyle="1" w:styleId="Textodeglobo">
    <w:name w:val="Texto de globo"/>
    <w:basedOn w:val="Normale"/>
    <w:rPr>
      <w:rFonts w:ascii="Segoe UI" w:hAnsi="Segoe UI" w:cs="Segoe UI"/>
      <w:sz w:val="18"/>
      <w:szCs w:val="18"/>
    </w:rPr>
  </w:style>
  <w:style w:type="paragraph" w:customStyle="1" w:styleId="Captiontitletable">
    <w:name w:val="Caption title table"/>
    <w:basedOn w:val="Normale"/>
    <w:pPr>
      <w:spacing w:before="120" w:after="400"/>
    </w:pPr>
    <w:rPr>
      <w:rFonts w:ascii="Arial" w:eastAsia="Times New Roman" w:hAnsi="Arial" w:cs="Arial"/>
      <w:b/>
      <w:i/>
      <w:sz w:val="18"/>
      <w:lang w:val="en-GB"/>
    </w:rPr>
  </w:style>
  <w:style w:type="paragraph" w:customStyle="1" w:styleId="Obsahtabulky">
    <w:name w:val="Obsah tabulky"/>
    <w:basedOn w:val="Normale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Corpotesto"/>
  </w:style>
  <w:style w:type="paragraph" w:customStyle="1" w:styleId="Textbubliny">
    <w:name w:val="Text bubliny"/>
    <w:basedOn w:val="Normal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34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342"/>
    <w:rPr>
      <w:rFonts w:eastAsia="SimSun"/>
      <w:sz w:val="18"/>
      <w:szCs w:val="18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734F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34F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34F85"/>
    <w:rPr>
      <w:rFonts w:eastAsia="SimSun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4F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4F85"/>
    <w:rPr>
      <w:rFonts w:eastAsia="SimSun"/>
      <w:b/>
      <w:bCs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458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2014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paragraph" w:styleId="Bibliografia">
    <w:name w:val="Bibliography"/>
    <w:basedOn w:val="Normale"/>
    <w:next w:val="Normale"/>
    <w:uiPriority w:val="37"/>
    <w:unhideWhenUsed/>
    <w:rsid w:val="009D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Kök06</b:Tag>
    <b:SourceType>JournalArticle</b:SourceType>
    <b:Guid>{1403AC63-4584-4341-B6E9-DC3F1AD03B95}</b:Guid>
    <b:Title>Nutrient composition of hazelnut (Corylus avellana L.) varieties cultivated in Turkey</b:Title>
    <b:JournalName>Food Chemistry</b:JournalName>
    <b:Year>2006</b:Year>
    <b:Pages>509-515</b:Pages>
    <b:Author>
      <b:Author>
        <b:NameList>
          <b:Person>
            <b:Last>Köksal</b:Last>
            <b:Middle>I.</b:Middle>
            <b:First>A.</b:First>
          </b:Person>
          <b:Person>
            <b:Last>Artik</b:Last>
            <b:First>N.</b:First>
          </b:Person>
          <b:Person>
            <b:Last>Şimşek</b:Last>
            <b:First>A.</b:First>
          </b:Person>
          <b:Person>
            <b:Last>Güneş</b:Last>
            <b:First>N.</b:First>
          </b:Person>
        </b:NameList>
      </b:Author>
    </b:Author>
    <b:Volume>99</b:Volume>
    <b:RefOrder>2</b:RefOrder>
  </b:Source>
  <b:Source>
    <b:Tag>Oli08</b:Tag>
    <b:SourceType>JournalArticle</b:SourceType>
    <b:Guid>{B966E022-8D7F-4A19-A8C9-19D690460AB7}</b:Guid>
    <b:Title>Chemical composition, and antioxidant and microbial activities of three hazelnut (Corylus avellana L.) cultivars</b:Title>
    <b:Year>2008</b:Year>
    <b:Author>
      <b:Author>
        <b:NameList>
          <b:Person>
            <b:Last>Oliveira</b:Last>
            <b:First>Ivo</b:First>
          </b:Person>
          <b:Person>
            <b:Last>Sousa</b:Last>
            <b:First>Anabela</b:First>
          </b:Person>
          <b:Person>
            <b:Last>Sa Morais</b:Last>
            <b:First>Jorges</b:First>
          </b:Person>
          <b:Person>
            <b:Last>Ferreira</b:Last>
            <b:Middle>C.F.R</b:Middle>
            <b:First>Isabel</b:First>
          </b:Person>
          <b:Person>
            <b:Last>Bento</b:Last>
            <b:First>Albino</b:First>
          </b:Person>
          <b:Person>
            <b:Last>Estevinho</b:Last>
            <b:First>Letìcia</b:First>
          </b:Person>
          <b:Person>
            <b:Last>Pereira</b:Last>
            <b:Middle>Alberto</b:Middle>
            <b:First>Jose</b:First>
          </b:Person>
        </b:NameList>
      </b:Author>
    </b:Author>
    <b:JournalName>Food and Chemical Toxicology</b:JournalName>
    <b:Pages>1801-1807</b:Pages>
    <b:RefOrder>1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0C43B9F624F46AC92EBAC60C63EAC" ma:contentTypeVersion="7" ma:contentTypeDescription="Create a new document." ma:contentTypeScope="" ma:versionID="7f4a4ad9033a64c133f5220afcb3f78e">
  <xsd:schema xmlns:xsd="http://www.w3.org/2001/XMLSchema" xmlns:xs="http://www.w3.org/2001/XMLSchema" xmlns:p="http://schemas.microsoft.com/office/2006/metadata/properties" xmlns:ns2="5e2f5b1d-8d81-4269-86fe-d536e340831f" targetNamespace="http://schemas.microsoft.com/office/2006/metadata/properties" ma:root="true" ma:fieldsID="d9afc13b7783bb81af47dca84a120f3b" ns2:_="">
    <xsd:import namespace="5e2f5b1d-8d81-4269-86fe-d536e34083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f5b1d-8d81-4269-86fe-d536e3408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192EC-CCC0-4A39-B0F7-9DFF76BBA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95863-651B-4A15-9F88-7F4472FEDA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B98F3-11B2-49AD-8DAA-976AB7BD81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C0236B-91B7-4F8B-9DCF-1F0FE273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f5b1d-8d81-4269-86fe-d536e34083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2931</Characters>
  <Application>Microsoft Office Word</Application>
  <DocSecurity>0</DocSecurity>
  <Lines>69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SAHC2014</vt:lpstr>
      <vt:lpstr>SAHC2014</vt:lpstr>
    </vt:vector>
  </TitlesOfParts>
  <Company>Oregon State University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SAHC2014</dc:title>
  <dc:subject/>
  <dc:creator>user;Sahc2014</dc:creator>
  <cp:keywords>Paper Proceedings</cp:keywords>
  <dc:description/>
  <cp:lastModifiedBy>Francesco Savorani</cp:lastModifiedBy>
  <cp:revision>2</cp:revision>
  <cp:lastPrinted>2014-01-17T10:40:00Z</cp:lastPrinted>
  <dcterms:created xsi:type="dcterms:W3CDTF">2022-04-20T16:07:00Z</dcterms:created>
  <dcterms:modified xsi:type="dcterms:W3CDTF">2022-04-20T16:07:00Z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  <property fmtid="{D5CDD505-2E9C-101B-9397-08002B2CF9AE}" pid="5" name="Mendeley Document_1">
    <vt:lpwstr>True</vt:lpwstr>
  </property>
  <property fmtid="{D5CDD505-2E9C-101B-9397-08002B2CF9AE}" pid="6" name="Mendeley Unique User Id_1">
    <vt:lpwstr>99783b5c-24db-346e-afc0-050ed4963faa</vt:lpwstr>
  </property>
  <property fmtid="{D5CDD505-2E9C-101B-9397-08002B2CF9AE}" pid="7" name="Mendeley Citation Style_1">
    <vt:lpwstr>http://www.zotero.org/styles/elsevier-harvard</vt:lpwstr>
  </property>
  <property fmtid="{D5CDD505-2E9C-101B-9397-08002B2CF9AE}" pid="8" name="Mendeley Recent Style Id 0_1">
    <vt:lpwstr>http://www.zotero.org/styles/apa</vt:lpwstr>
  </property>
  <property fmtid="{D5CDD505-2E9C-101B-9397-08002B2CF9AE}" pid="9" name="Mendeley Recent Style Name 0_1">
    <vt:lpwstr>American Psychological Association 7th edition</vt:lpwstr>
  </property>
  <property fmtid="{D5CDD505-2E9C-101B-9397-08002B2CF9AE}" pid="10" name="Mendeley Recent Style Id 1_1">
    <vt:lpwstr>http://www.zotero.org/styles/analytica-chimica-acta</vt:lpwstr>
  </property>
  <property fmtid="{D5CDD505-2E9C-101B-9397-08002B2CF9AE}" pid="11" name="Mendeley Recent Style Name 1_1">
    <vt:lpwstr>Analytica Chimica Acta</vt:lpwstr>
  </property>
  <property fmtid="{D5CDD505-2E9C-101B-9397-08002B2CF9AE}" pid="12" name="Mendeley Recent Style Id 2_1">
    <vt:lpwstr>http://www.zotero.org/styles/harvard-cite-them-right</vt:lpwstr>
  </property>
  <property fmtid="{D5CDD505-2E9C-101B-9397-08002B2CF9AE}" pid="13" name="Mendeley Recent Style Name 2_1">
    <vt:lpwstr>Cite Them Right 10th edition - Harvard</vt:lpwstr>
  </property>
  <property fmtid="{D5CDD505-2E9C-101B-9397-08002B2CF9AE}" pid="14" name="Mendeley Recent Style Id 3_1">
    <vt:lpwstr>http://www.zotero.org/styles/elsevier-harvard</vt:lpwstr>
  </property>
  <property fmtid="{D5CDD505-2E9C-101B-9397-08002B2CF9AE}" pid="15" name="Mendeley Recent Style Name 3_1">
    <vt:lpwstr>Elsevier - Harvard (with titles)</vt:lpwstr>
  </property>
  <property fmtid="{D5CDD505-2E9C-101B-9397-08002B2CF9AE}" pid="16" name="Mendeley Recent Style Id 4_1">
    <vt:lpwstr>http://www.zotero.org/styles/ieee</vt:lpwstr>
  </property>
  <property fmtid="{D5CDD505-2E9C-101B-9397-08002B2CF9AE}" pid="17" name="Mendeley Recent Style Name 4_1">
    <vt:lpwstr>IEEE</vt:lpwstr>
  </property>
  <property fmtid="{D5CDD505-2E9C-101B-9397-08002B2CF9AE}" pid="18" name="Mendeley Recent Style Id 5_1">
    <vt:lpwstr>http://www.zotero.org/styles/journal-of-chemometrics</vt:lpwstr>
  </property>
  <property fmtid="{D5CDD505-2E9C-101B-9397-08002B2CF9AE}" pid="19" name="Mendeley Recent Style Name 5_1">
    <vt:lpwstr>Journal of Chemometrics</vt:lpwstr>
  </property>
  <property fmtid="{D5CDD505-2E9C-101B-9397-08002B2CF9AE}" pid="20" name="Mendeley Recent Style Id 6_1">
    <vt:lpwstr>http://www.zotero.org/styles/modern-humanities-research-association</vt:lpwstr>
  </property>
  <property fmtid="{D5CDD505-2E9C-101B-9397-08002B2CF9AE}" pid="21" name="Mendeley Recent Style Name 6_1">
    <vt:lpwstr>Modern Humanities Research Association 3rd edition (note with bibliography)</vt:lpwstr>
  </property>
  <property fmtid="{D5CDD505-2E9C-101B-9397-08002B2CF9AE}" pid="22" name="Mendeley Recent Style Id 7_1">
    <vt:lpwstr>http://www.zotero.org/styles/modern-language-association</vt:lpwstr>
  </property>
  <property fmtid="{D5CDD505-2E9C-101B-9397-08002B2CF9AE}" pid="23" name="Mendeley Recent Style Name 7_1">
    <vt:lpwstr>Modern Language Association 8th edition</vt:lpwstr>
  </property>
  <property fmtid="{D5CDD505-2E9C-101B-9397-08002B2CF9AE}" pid="24" name="Mendeley Recent Style Id 8_1">
    <vt:lpwstr>http://www.zotero.org/styles/molecules</vt:lpwstr>
  </property>
  <property fmtid="{D5CDD505-2E9C-101B-9397-08002B2CF9AE}" pid="25" name="Mendeley Recent Style Name 8_1">
    <vt:lpwstr>Molecules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  <property fmtid="{D5CDD505-2E9C-101B-9397-08002B2CF9AE}" pid="28" name="ContentTypeId">
    <vt:lpwstr>0x010100AB10C43B9F624F46AC92EBAC60C63EAC</vt:lpwstr>
  </property>
</Properties>
</file>