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BB6" w14:textId="77777777" w:rsidR="009B5C74" w:rsidRDefault="009B5C74" w:rsidP="009B5C74">
      <w:pPr>
        <w:jc w:val="center"/>
        <w:rPr>
          <w:b/>
          <w:bCs/>
          <w:sz w:val="28"/>
          <w:szCs w:val="28"/>
        </w:rPr>
      </w:pPr>
    </w:p>
    <w:p w14:paraId="1B8B72AA" w14:textId="77777777" w:rsidR="009B5C74" w:rsidRDefault="009B5C74" w:rsidP="009B5C74">
      <w:pPr>
        <w:jc w:val="center"/>
        <w:rPr>
          <w:b/>
          <w:bCs/>
          <w:sz w:val="28"/>
          <w:szCs w:val="28"/>
        </w:rPr>
      </w:pPr>
      <w:r w:rsidRPr="00762EFC">
        <w:rPr>
          <w:b/>
          <w:bCs/>
          <w:sz w:val="28"/>
          <w:szCs w:val="28"/>
        </w:rPr>
        <w:t xml:space="preserve">Environmental </w:t>
      </w:r>
      <w:r>
        <w:rPr>
          <w:b/>
          <w:bCs/>
          <w:sz w:val="28"/>
          <w:szCs w:val="28"/>
        </w:rPr>
        <w:t>P</w:t>
      </w:r>
      <w:r w:rsidRPr="00762EFC">
        <w:rPr>
          <w:b/>
          <w:bCs/>
          <w:sz w:val="28"/>
          <w:szCs w:val="28"/>
        </w:rPr>
        <w:t xml:space="preserve">erformance </w:t>
      </w:r>
      <w:r>
        <w:rPr>
          <w:b/>
          <w:bCs/>
          <w:sz w:val="28"/>
          <w:szCs w:val="28"/>
        </w:rPr>
        <w:t>C</w:t>
      </w:r>
      <w:r w:rsidRPr="00762EFC">
        <w:rPr>
          <w:b/>
          <w:bCs/>
          <w:sz w:val="28"/>
          <w:szCs w:val="28"/>
        </w:rPr>
        <w:t xml:space="preserve">omparison </w:t>
      </w:r>
      <w:r>
        <w:rPr>
          <w:b/>
          <w:bCs/>
          <w:sz w:val="28"/>
          <w:szCs w:val="28"/>
        </w:rPr>
        <w:t>B</w:t>
      </w:r>
      <w:r w:rsidRPr="00762EFC">
        <w:rPr>
          <w:b/>
          <w:bCs/>
          <w:sz w:val="28"/>
          <w:szCs w:val="28"/>
        </w:rPr>
        <w:t xml:space="preserve">etween </w:t>
      </w:r>
      <w:r>
        <w:rPr>
          <w:b/>
          <w:bCs/>
          <w:sz w:val="28"/>
          <w:szCs w:val="28"/>
        </w:rPr>
        <w:t>O</w:t>
      </w:r>
      <w:r w:rsidRPr="00762EFC">
        <w:rPr>
          <w:b/>
          <w:bCs/>
          <w:sz w:val="28"/>
          <w:szCs w:val="28"/>
        </w:rPr>
        <w:t xml:space="preserve">ptical and </w:t>
      </w:r>
      <w:r>
        <w:rPr>
          <w:b/>
          <w:bCs/>
          <w:sz w:val="28"/>
          <w:szCs w:val="28"/>
        </w:rPr>
        <w:t>W</w:t>
      </w:r>
      <w:r w:rsidRPr="00762EFC">
        <w:rPr>
          <w:b/>
          <w:bCs/>
          <w:sz w:val="28"/>
          <w:szCs w:val="28"/>
        </w:rPr>
        <w:t xml:space="preserve">et-chem </w:t>
      </w:r>
      <w:r>
        <w:rPr>
          <w:b/>
          <w:bCs/>
          <w:sz w:val="28"/>
          <w:szCs w:val="28"/>
        </w:rPr>
        <w:t>A</w:t>
      </w:r>
      <w:r w:rsidRPr="00762EFC">
        <w:rPr>
          <w:b/>
          <w:bCs/>
          <w:sz w:val="28"/>
          <w:szCs w:val="28"/>
        </w:rPr>
        <w:t xml:space="preserve">nalyses to </w:t>
      </w:r>
      <w:r>
        <w:rPr>
          <w:b/>
          <w:bCs/>
          <w:sz w:val="28"/>
          <w:szCs w:val="28"/>
        </w:rPr>
        <w:t>A</w:t>
      </w:r>
      <w:r w:rsidRPr="00762EFC">
        <w:rPr>
          <w:b/>
          <w:bCs/>
          <w:sz w:val="28"/>
          <w:szCs w:val="28"/>
        </w:rPr>
        <w:t xml:space="preserve">ssess </w:t>
      </w:r>
      <w:r>
        <w:rPr>
          <w:b/>
          <w:bCs/>
          <w:sz w:val="28"/>
          <w:szCs w:val="28"/>
        </w:rPr>
        <w:t>Q</w:t>
      </w:r>
      <w:r w:rsidRPr="00762EFC">
        <w:rPr>
          <w:b/>
          <w:bCs/>
          <w:sz w:val="28"/>
          <w:szCs w:val="28"/>
        </w:rPr>
        <w:t xml:space="preserve">uality </w:t>
      </w:r>
      <w:r>
        <w:rPr>
          <w:b/>
          <w:bCs/>
          <w:sz w:val="28"/>
          <w:szCs w:val="28"/>
        </w:rPr>
        <w:t>P</w:t>
      </w:r>
      <w:r w:rsidRPr="00762EFC">
        <w:rPr>
          <w:b/>
          <w:bCs/>
          <w:sz w:val="28"/>
          <w:szCs w:val="28"/>
        </w:rPr>
        <w:t xml:space="preserve">arameters of </w:t>
      </w:r>
      <w:r>
        <w:rPr>
          <w:b/>
          <w:bCs/>
          <w:sz w:val="28"/>
          <w:szCs w:val="28"/>
        </w:rPr>
        <w:t>G</w:t>
      </w:r>
      <w:r w:rsidRPr="00762EFC">
        <w:rPr>
          <w:b/>
          <w:bCs/>
          <w:sz w:val="28"/>
          <w:szCs w:val="28"/>
        </w:rPr>
        <w:t>rape (Vitis vinifera L.)</w:t>
      </w:r>
    </w:p>
    <w:p w14:paraId="4FBAACD0" w14:textId="77777777" w:rsidR="009B5C74" w:rsidRPr="00762EFC" w:rsidRDefault="009B5C74" w:rsidP="009B5C74">
      <w:pPr>
        <w:jc w:val="center"/>
        <w:rPr>
          <w:b/>
          <w:bCs/>
          <w:sz w:val="28"/>
          <w:szCs w:val="28"/>
        </w:rPr>
      </w:pPr>
    </w:p>
    <w:p w14:paraId="41F7B77F" w14:textId="2C8407DF" w:rsidR="009B5C74" w:rsidRPr="007336CA" w:rsidRDefault="009B5C74" w:rsidP="007336CA">
      <w:pPr>
        <w:jc w:val="center"/>
        <w:rPr>
          <w:b/>
          <w:bCs/>
          <w:vertAlign w:val="superscript"/>
          <w:lang w:val="it-IT"/>
        </w:rPr>
      </w:pPr>
      <w:r w:rsidRPr="00762EFC">
        <w:rPr>
          <w:b/>
          <w:bCs/>
          <w:lang w:val="it-IT"/>
        </w:rPr>
        <w:t>Martina Zambelli,</w:t>
      </w:r>
      <w:r>
        <w:rPr>
          <w:b/>
          <w:bCs/>
          <w:lang w:val="it-IT"/>
        </w:rPr>
        <w:t xml:space="preserve"> </w:t>
      </w:r>
      <w:r w:rsidRPr="00762EFC">
        <w:rPr>
          <w:b/>
          <w:bCs/>
          <w:lang w:val="it-IT"/>
        </w:rPr>
        <w:t>Roberto Beghi</w:t>
      </w:r>
      <w:r>
        <w:rPr>
          <w:b/>
          <w:bCs/>
          <w:lang w:val="it-IT"/>
        </w:rPr>
        <w:t>*,</w:t>
      </w:r>
      <w:r w:rsidRPr="00762EFC">
        <w:rPr>
          <w:b/>
          <w:bCs/>
          <w:vertAlign w:val="superscript"/>
          <w:lang w:val="it-IT"/>
        </w:rPr>
        <w:t xml:space="preserve"> </w:t>
      </w:r>
      <w:r w:rsidRPr="00762EFC">
        <w:rPr>
          <w:b/>
          <w:bCs/>
          <w:lang w:val="it-IT"/>
        </w:rPr>
        <w:t>Andrea Casson, Alessia Pampuri, Alessio Tugnolo, Riccardo Guidetti, Valentina Giovenzana</w:t>
      </w:r>
    </w:p>
    <w:p w14:paraId="22CD4631" w14:textId="3E95A4E3" w:rsidR="003D71D0" w:rsidRDefault="003D71D0" w:rsidP="009B5C74">
      <w:pPr>
        <w:pStyle w:val="Address"/>
        <w:ind w:left="0"/>
        <w:jc w:val="center"/>
        <w:rPr>
          <w:rFonts w:ascii="Times New Roman" w:hAnsi="Times New Roman"/>
          <w:sz w:val="24"/>
          <w:szCs w:val="24"/>
          <w:lang w:val="it-IT" w:eastAsia="zh-CN"/>
        </w:rPr>
      </w:pPr>
      <w:r w:rsidRPr="003D71D0">
        <w:rPr>
          <w:rFonts w:ascii="Times New Roman" w:hAnsi="Times New Roman"/>
          <w:sz w:val="24"/>
          <w:szCs w:val="24"/>
          <w:lang w:val="it-IT" w:eastAsia="zh-CN"/>
        </w:rPr>
        <w:t xml:space="preserve">Department of </w:t>
      </w:r>
      <w:proofErr w:type="spellStart"/>
      <w:r w:rsidRPr="003D71D0">
        <w:rPr>
          <w:rFonts w:ascii="Times New Roman" w:hAnsi="Times New Roman"/>
          <w:sz w:val="24"/>
          <w:szCs w:val="24"/>
          <w:lang w:val="it-IT" w:eastAsia="zh-CN"/>
        </w:rPr>
        <w:t>Agricultural</w:t>
      </w:r>
      <w:proofErr w:type="spellEnd"/>
      <w:r w:rsidRPr="003D71D0">
        <w:rPr>
          <w:rFonts w:ascii="Times New Roman" w:hAnsi="Times New Roman"/>
          <w:sz w:val="24"/>
          <w:szCs w:val="24"/>
          <w:lang w:val="it-IT" w:eastAsia="zh-CN"/>
        </w:rPr>
        <w:t xml:space="preserve"> and </w:t>
      </w:r>
      <w:proofErr w:type="spellStart"/>
      <w:r w:rsidRPr="003D71D0">
        <w:rPr>
          <w:rFonts w:ascii="Times New Roman" w:hAnsi="Times New Roman"/>
          <w:sz w:val="24"/>
          <w:szCs w:val="24"/>
          <w:lang w:val="it-IT" w:eastAsia="zh-CN"/>
        </w:rPr>
        <w:t>Environmental</w:t>
      </w:r>
      <w:proofErr w:type="spellEnd"/>
      <w:r w:rsidRPr="003D71D0">
        <w:rPr>
          <w:rFonts w:ascii="Times New Roman" w:hAnsi="Times New Roman"/>
          <w:sz w:val="24"/>
          <w:szCs w:val="24"/>
          <w:lang w:val="it-IT" w:eastAsia="zh-CN"/>
        </w:rPr>
        <w:t xml:space="preserve"> Sciences - Production, </w:t>
      </w:r>
      <w:proofErr w:type="spellStart"/>
      <w:r w:rsidRPr="003D71D0">
        <w:rPr>
          <w:rFonts w:ascii="Times New Roman" w:hAnsi="Times New Roman"/>
          <w:sz w:val="24"/>
          <w:szCs w:val="24"/>
          <w:lang w:val="it-IT" w:eastAsia="zh-CN"/>
        </w:rPr>
        <w:t>Territory</w:t>
      </w:r>
      <w:proofErr w:type="spellEnd"/>
      <w:r w:rsidRPr="003D71D0">
        <w:rPr>
          <w:rFonts w:ascii="Times New Roman" w:hAnsi="Times New Roman"/>
          <w:sz w:val="24"/>
          <w:szCs w:val="24"/>
          <w:lang w:val="it-IT" w:eastAsia="zh-CN"/>
        </w:rPr>
        <w:t xml:space="preserve">, </w:t>
      </w:r>
      <w:proofErr w:type="spellStart"/>
      <w:r w:rsidRPr="003D71D0">
        <w:rPr>
          <w:rFonts w:ascii="Times New Roman" w:hAnsi="Times New Roman"/>
          <w:sz w:val="24"/>
          <w:szCs w:val="24"/>
          <w:lang w:val="it-IT" w:eastAsia="zh-CN"/>
        </w:rPr>
        <w:t>Agroenergy</w:t>
      </w:r>
      <w:proofErr w:type="spellEnd"/>
      <w:r w:rsidR="007336CA" w:rsidRPr="007336CA">
        <w:rPr>
          <w:rFonts w:ascii="Times New Roman" w:hAnsi="Times New Roman"/>
          <w:sz w:val="24"/>
          <w:szCs w:val="24"/>
          <w:lang w:val="it-IT" w:eastAsia="zh-CN"/>
        </w:rPr>
        <w:t xml:space="preserve">, Università degli Studi di Milano, Via Celoria 2, 20133, Milano, </w:t>
      </w:r>
      <w:proofErr w:type="spellStart"/>
      <w:r w:rsidR="007336CA" w:rsidRPr="007336CA">
        <w:rPr>
          <w:rFonts w:ascii="Times New Roman" w:hAnsi="Times New Roman"/>
          <w:sz w:val="24"/>
          <w:szCs w:val="24"/>
          <w:lang w:val="it-IT" w:eastAsia="zh-CN"/>
        </w:rPr>
        <w:t>Ital</w:t>
      </w:r>
      <w:r>
        <w:rPr>
          <w:rFonts w:ascii="Times New Roman" w:hAnsi="Times New Roman"/>
          <w:sz w:val="24"/>
          <w:szCs w:val="24"/>
          <w:lang w:val="it-IT" w:eastAsia="zh-CN"/>
        </w:rPr>
        <w:t>y</w:t>
      </w:r>
      <w:proofErr w:type="spellEnd"/>
    </w:p>
    <w:p w14:paraId="64F534F3" w14:textId="084D9156" w:rsidR="009B5C74" w:rsidRPr="00762EFC" w:rsidRDefault="009B5C74" w:rsidP="009B5C74">
      <w:pPr>
        <w:pStyle w:val="Address"/>
        <w:ind w:left="0"/>
        <w:jc w:val="center"/>
        <w:rPr>
          <w:rFonts w:ascii="Times New Roman" w:hAnsi="Times New Roman"/>
          <w:sz w:val="24"/>
          <w:szCs w:val="24"/>
          <w:lang w:val="en-GB"/>
        </w:rPr>
      </w:pPr>
      <w:r w:rsidRPr="003D71D0">
        <w:rPr>
          <w:rFonts w:ascii="Times New Roman" w:hAnsi="Times New Roman"/>
          <w:b/>
          <w:sz w:val="24"/>
          <w:szCs w:val="24"/>
          <w:lang w:val="en-GB"/>
        </w:rPr>
        <w:t>*</w:t>
      </w:r>
      <w:r w:rsidRPr="003D71D0">
        <w:rPr>
          <w:rFonts w:ascii="Times New Roman" w:hAnsi="Times New Roman"/>
          <w:sz w:val="24"/>
          <w:szCs w:val="24"/>
          <w:lang w:val="en-GB"/>
        </w:rPr>
        <w:t xml:space="preserve">Corresponding Author: </w:t>
      </w:r>
      <w:hyperlink r:id="rId6" w:history="1">
        <w:r w:rsidRPr="003D71D0">
          <w:rPr>
            <w:rStyle w:val="Collegamentoipertestuale"/>
            <w:rFonts w:ascii="Times New Roman" w:hAnsi="Times New Roman"/>
            <w:sz w:val="24"/>
            <w:szCs w:val="24"/>
            <w:lang w:val="en-GB"/>
          </w:rPr>
          <w:t>roberto.beghi@unimi.it</w:t>
        </w:r>
      </w:hyperlink>
      <w:r w:rsidRPr="003D71D0">
        <w:rPr>
          <w:rStyle w:val="Collegamentoipertestuale"/>
          <w:rFonts w:ascii="Times New Roman" w:hAnsi="Times New Roman"/>
          <w:sz w:val="24"/>
          <w:szCs w:val="24"/>
          <w:lang w:val="en-GB"/>
        </w:rPr>
        <w:t xml:space="preserve"> </w:t>
      </w:r>
      <w:r w:rsidRPr="003D71D0">
        <w:rPr>
          <w:rFonts w:ascii="Times New Roman" w:hAnsi="Times New Roman"/>
          <w:sz w:val="24"/>
          <w:szCs w:val="24"/>
          <w:lang w:val="en-GB"/>
        </w:rPr>
        <w:t xml:space="preserve">- tel. </w:t>
      </w:r>
      <w:r w:rsidRPr="00762EFC">
        <w:rPr>
          <w:rFonts w:ascii="Times New Roman" w:hAnsi="Times New Roman"/>
          <w:sz w:val="24"/>
          <w:szCs w:val="24"/>
          <w:lang w:val="en-GB"/>
        </w:rPr>
        <w:t>+39 02 503168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Pr="00762EFC">
        <w:rPr>
          <w:rFonts w:ascii="Times New Roman" w:hAnsi="Times New Roman"/>
          <w:sz w:val="24"/>
          <w:szCs w:val="24"/>
          <w:lang w:val="en-GB"/>
        </w:rPr>
        <w:t>3</w:t>
      </w:r>
    </w:p>
    <w:p w14:paraId="2DFD4C9C" w14:textId="77777777" w:rsidR="009B5C74" w:rsidRDefault="009B5C74" w:rsidP="009B5C74">
      <w:pPr>
        <w:jc w:val="both"/>
        <w:rPr>
          <w:b/>
        </w:rPr>
      </w:pPr>
    </w:p>
    <w:p w14:paraId="6970B996" w14:textId="77777777" w:rsidR="009B5C74" w:rsidRDefault="009B5C74" w:rsidP="009B5C74">
      <w:pPr>
        <w:jc w:val="both"/>
        <w:rPr>
          <w:rFonts w:cs="Arial"/>
        </w:rPr>
      </w:pPr>
      <w:r w:rsidRPr="003C47B0">
        <w:rPr>
          <w:rFonts w:cs="Arial"/>
        </w:rPr>
        <w:t>Grape quality composition at harvest is one of the most important factors that determine the future quality of the wine</w:t>
      </w:r>
      <w:r>
        <w:rPr>
          <w:rFonts w:cs="Arial"/>
        </w:rPr>
        <w:t xml:space="preserve"> </w:t>
      </w:r>
      <w:r w:rsidRPr="00787DCE">
        <w:rPr>
          <w:rFonts w:cs="Arial"/>
        </w:rPr>
        <w:t>(Dambergs et al., 2000; R.G. Xiao et al., 2019).</w:t>
      </w:r>
      <w:r>
        <w:rPr>
          <w:rFonts w:cs="Arial"/>
        </w:rPr>
        <w:t xml:space="preserve"> S</w:t>
      </w:r>
      <w:r w:rsidRPr="003C47B0">
        <w:rPr>
          <w:rFonts w:cs="Arial"/>
        </w:rPr>
        <w:t>ugars content, total acidity and pH-value</w:t>
      </w:r>
      <w:r>
        <w:rPr>
          <w:rFonts w:cs="Arial"/>
        </w:rPr>
        <w:t xml:space="preserve"> are some of the main grape quality parameters which are</w:t>
      </w:r>
      <w:r w:rsidRPr="003C47B0">
        <w:rPr>
          <w:rFonts w:cs="Arial"/>
        </w:rPr>
        <w:t xml:space="preserve"> obtained through the wet-chem analyses</w:t>
      </w:r>
      <w:r>
        <w:rPr>
          <w:rFonts w:cs="Arial"/>
        </w:rPr>
        <w:t xml:space="preserve"> implying</w:t>
      </w:r>
      <w:r w:rsidRPr="003C47B0">
        <w:rPr>
          <w:rFonts w:cs="Arial"/>
        </w:rPr>
        <w:t xml:space="preserve"> the use of chemicals</w:t>
      </w:r>
      <w:r>
        <w:rPr>
          <w:rFonts w:cs="Arial"/>
        </w:rPr>
        <w:t>, the destruction of the samples and time-consuming procedures. To overcome these technical problems</w:t>
      </w:r>
      <w:r w:rsidRPr="003C47B0">
        <w:rPr>
          <w:rFonts w:cs="Arial"/>
        </w:rPr>
        <w:t>, optical methods can be</w:t>
      </w:r>
      <w:r>
        <w:rPr>
          <w:rFonts w:cs="Arial"/>
        </w:rPr>
        <w:t xml:space="preserve"> </w:t>
      </w:r>
      <w:r w:rsidRPr="003C47B0">
        <w:rPr>
          <w:rFonts w:cs="Arial"/>
        </w:rPr>
        <w:t xml:space="preserve">suitable alternatives to monitor the technological maturation of grapes. </w:t>
      </w:r>
    </w:p>
    <w:p w14:paraId="248CA32F" w14:textId="77777777" w:rsidR="009B5C74" w:rsidRPr="003C47B0" w:rsidRDefault="009B5C74" w:rsidP="009B5C74">
      <w:pPr>
        <w:jc w:val="both"/>
        <w:rPr>
          <w:rFonts w:cs="Arial"/>
        </w:rPr>
      </w:pPr>
      <w:r w:rsidRPr="003C47B0">
        <w:rPr>
          <w:rFonts w:cs="Arial"/>
        </w:rPr>
        <w:t>In this context, the work aimed to evaluate and compare the environmental impact of</w:t>
      </w:r>
      <w:r>
        <w:rPr>
          <w:rFonts w:cs="Arial"/>
        </w:rPr>
        <w:t xml:space="preserve"> these</w:t>
      </w:r>
      <w:r w:rsidRPr="003C47B0">
        <w:rPr>
          <w:rFonts w:cs="Arial"/>
        </w:rPr>
        <w:t xml:space="preserve"> three different analyses</w:t>
      </w:r>
      <w:r>
        <w:rPr>
          <w:rFonts w:cs="Arial"/>
        </w:rPr>
        <w:t xml:space="preserve"> by considering </w:t>
      </w:r>
      <w:r w:rsidRPr="003C47B0">
        <w:rPr>
          <w:rFonts w:cs="Arial"/>
        </w:rPr>
        <w:t>three different approaches: the wet-chem method, the optical method using benchtop devices and the optical method using innovative, smart, and cost-effective devices.</w:t>
      </w:r>
      <w:r>
        <w:rPr>
          <w:rFonts w:cs="Arial"/>
        </w:rPr>
        <w:t xml:space="preserve"> </w:t>
      </w:r>
      <w:r w:rsidRPr="003C47B0">
        <w:rPr>
          <w:rFonts w:cs="Arial"/>
        </w:rPr>
        <w:t xml:space="preserve">The methodology used to identify the most </w:t>
      </w:r>
      <w:r>
        <w:rPr>
          <w:rFonts w:cs="Arial"/>
        </w:rPr>
        <w:t>convenient</w:t>
      </w:r>
      <w:r w:rsidRPr="003C47B0">
        <w:rPr>
          <w:rFonts w:cs="Arial"/>
        </w:rPr>
        <w:t xml:space="preserve"> solution </w:t>
      </w:r>
      <w:r>
        <w:rPr>
          <w:rFonts w:cs="Arial"/>
        </w:rPr>
        <w:t>in terms of environmental impact was the Life Cycle Assessment (LCA)</w:t>
      </w:r>
      <w:r w:rsidRPr="003C47B0">
        <w:rPr>
          <w:rFonts w:cs="Arial"/>
          <w:bCs/>
        </w:rPr>
        <w:t xml:space="preserve">. The </w:t>
      </w:r>
      <w:r w:rsidRPr="003C47B0">
        <w:rPr>
          <w:rFonts w:cs="Arial"/>
        </w:rPr>
        <w:t>functional unit was identified by the execution of the analyses necessary to obtain the three technological parameters</w:t>
      </w:r>
      <w:r>
        <w:rPr>
          <w:rFonts w:cs="Arial"/>
        </w:rPr>
        <w:t xml:space="preserve"> and </w:t>
      </w:r>
      <w:r w:rsidRPr="003C47B0">
        <w:rPr>
          <w:rFonts w:cs="Arial"/>
        </w:rPr>
        <w:t xml:space="preserve">a </w:t>
      </w:r>
      <w:r w:rsidRPr="003C47B0">
        <w:rPr>
          <w:rFonts w:cs="Arial"/>
          <w:bCs/>
        </w:rPr>
        <w:t>“from-cradle-to-grave” approach</w:t>
      </w:r>
      <w:r>
        <w:rPr>
          <w:rFonts w:cs="Arial"/>
        </w:rPr>
        <w:t xml:space="preserve"> was used for the evaluation. </w:t>
      </w:r>
    </w:p>
    <w:p w14:paraId="425D06EF" w14:textId="24767894" w:rsidR="009B5C74" w:rsidRPr="000E62B9" w:rsidRDefault="009B5C74" w:rsidP="009B5C74">
      <w:pPr>
        <w:jc w:val="both"/>
        <w:rPr>
          <w:rFonts w:cs="Arial"/>
          <w:iCs/>
          <w:lang w:val="en-GB"/>
        </w:rPr>
      </w:pPr>
      <w:r w:rsidRPr="003C47B0">
        <w:rPr>
          <w:rFonts w:cs="Arial"/>
        </w:rPr>
        <w:t xml:space="preserve">Results demonstrate </w:t>
      </w:r>
      <w:r>
        <w:rPr>
          <w:rFonts w:cs="Arial"/>
        </w:rPr>
        <w:t>the advantages of</w:t>
      </w:r>
      <w:r w:rsidRPr="003C47B0">
        <w:rPr>
          <w:rFonts w:cs="Arial"/>
        </w:rPr>
        <w:t xml:space="preserve"> the benchtop and the innovative </w:t>
      </w:r>
      <w:r>
        <w:rPr>
          <w:rFonts w:cs="Arial"/>
        </w:rPr>
        <w:t>solutions to obtain</w:t>
      </w:r>
      <w:r w:rsidRPr="003C47B0">
        <w:rPr>
          <w:rFonts w:cs="Arial"/>
        </w:rPr>
        <w:t xml:space="preserve"> the three quality parameters with only one single analysis. </w:t>
      </w:r>
      <w:r>
        <w:rPr>
          <w:rFonts w:cs="Arial"/>
        </w:rPr>
        <w:t xml:space="preserve">Among the alternatives, </w:t>
      </w:r>
      <w:r w:rsidRPr="003C47B0">
        <w:rPr>
          <w:rFonts w:cs="Arial"/>
        </w:rPr>
        <w:t xml:space="preserve">the innovative optical method </w:t>
      </w:r>
      <w:r>
        <w:rPr>
          <w:rFonts w:cs="Arial"/>
        </w:rPr>
        <w:t>seems to be</w:t>
      </w:r>
      <w:r w:rsidRPr="003C47B0">
        <w:rPr>
          <w:rFonts w:cs="Arial"/>
        </w:rPr>
        <w:t xml:space="preserve"> the green</w:t>
      </w:r>
      <w:r>
        <w:rPr>
          <w:rFonts w:cs="Arial"/>
        </w:rPr>
        <w:t>est</w:t>
      </w:r>
      <w:r w:rsidRPr="003C47B0">
        <w:rPr>
          <w:rFonts w:cs="Arial"/>
        </w:rPr>
        <w:t xml:space="preserve"> solution resulting 3.2 times more sustainable respect</w:t>
      </w:r>
      <w:r>
        <w:rPr>
          <w:rFonts w:cs="Arial"/>
        </w:rPr>
        <w:t xml:space="preserve"> to</w:t>
      </w:r>
      <w:r w:rsidRPr="003C47B0">
        <w:rPr>
          <w:rFonts w:cs="Arial"/>
        </w:rPr>
        <w:t xml:space="preserve"> the wet-chem analyses. </w:t>
      </w:r>
      <w:r>
        <w:rPr>
          <w:rFonts w:cs="Arial"/>
        </w:rPr>
        <w:t>Nonetheless, the performance of the</w:t>
      </w:r>
      <w:r w:rsidRPr="003C47B0">
        <w:rPr>
          <w:rFonts w:cs="Arial"/>
        </w:rPr>
        <w:t xml:space="preserve"> innovative optical </w:t>
      </w:r>
      <w:r>
        <w:rPr>
          <w:rFonts w:cs="Arial"/>
        </w:rPr>
        <w:t>solution</w:t>
      </w:r>
      <w:r w:rsidRPr="003C47B0">
        <w:rPr>
          <w:rFonts w:cs="Arial"/>
        </w:rPr>
        <w:t xml:space="preserve"> may be not so reliable in obtaining precise and trustworthy </w:t>
      </w:r>
      <w:r>
        <w:rPr>
          <w:rFonts w:cs="Arial"/>
        </w:rPr>
        <w:t>results</w:t>
      </w:r>
      <w:r w:rsidRPr="003C47B0">
        <w:rPr>
          <w:rFonts w:cs="Arial"/>
        </w:rPr>
        <w:t xml:space="preserve">. </w:t>
      </w:r>
      <w:r>
        <w:rPr>
          <w:rFonts w:cs="Arial"/>
        </w:rPr>
        <w:t xml:space="preserve">For this reason, they were adjusted considering a </w:t>
      </w:r>
      <w:r w:rsidRPr="003C47B0">
        <w:rPr>
          <w:rFonts w:cs="Arial"/>
        </w:rPr>
        <w:t>performance factor</w:t>
      </w:r>
      <w:r>
        <w:rPr>
          <w:rFonts w:cs="Arial"/>
        </w:rPr>
        <w:t xml:space="preserve"> confirming once again </w:t>
      </w:r>
      <w:r w:rsidRPr="003C47B0">
        <w:rPr>
          <w:rFonts w:cs="Arial"/>
        </w:rPr>
        <w:t xml:space="preserve">what obtained in the previous scenario. </w:t>
      </w:r>
      <w:r>
        <w:rPr>
          <w:rFonts w:cs="Arial"/>
        </w:rPr>
        <w:t xml:space="preserve">This work </w:t>
      </w:r>
      <w:r w:rsidRPr="003C47B0">
        <w:rPr>
          <w:rFonts w:cs="Arial"/>
        </w:rPr>
        <w:t>demonstrate</w:t>
      </w:r>
      <w:r>
        <w:rPr>
          <w:rFonts w:cs="Arial"/>
        </w:rPr>
        <w:t>s</w:t>
      </w:r>
      <w:r w:rsidRPr="003C47B0">
        <w:rPr>
          <w:rFonts w:cs="Arial"/>
        </w:rPr>
        <w:t xml:space="preserve"> how innovations in agriculture</w:t>
      </w:r>
      <w:r>
        <w:rPr>
          <w:rFonts w:cs="Arial"/>
        </w:rPr>
        <w:t>,</w:t>
      </w:r>
      <w:r w:rsidRPr="003C47B0">
        <w:rPr>
          <w:rFonts w:cs="Arial"/>
        </w:rPr>
        <w:t xml:space="preserve"> </w:t>
      </w:r>
      <w:r>
        <w:rPr>
          <w:rFonts w:cs="Arial"/>
        </w:rPr>
        <w:t xml:space="preserve">like </w:t>
      </w:r>
      <w:r w:rsidRPr="003C47B0">
        <w:rPr>
          <w:rFonts w:cs="Arial"/>
        </w:rPr>
        <w:t xml:space="preserve">the development of smart </w:t>
      </w:r>
      <w:r w:rsidR="006F70DF">
        <w:rPr>
          <w:rFonts w:cs="Arial"/>
        </w:rPr>
        <w:t>optical</w:t>
      </w:r>
      <w:r w:rsidR="009A1D38">
        <w:rPr>
          <w:rFonts w:cs="Arial"/>
        </w:rPr>
        <w:t xml:space="preserve"> </w:t>
      </w:r>
      <w:r w:rsidRPr="003C47B0">
        <w:rPr>
          <w:rFonts w:cs="Arial"/>
        </w:rPr>
        <w:t>solutions</w:t>
      </w:r>
      <w:r>
        <w:rPr>
          <w:rFonts w:cs="Arial"/>
        </w:rPr>
        <w:t>,</w:t>
      </w:r>
      <w:r w:rsidRPr="003C47B0">
        <w:rPr>
          <w:rFonts w:cs="Arial"/>
        </w:rPr>
        <w:t xml:space="preserve"> could </w:t>
      </w:r>
      <w:r>
        <w:rPr>
          <w:rFonts w:cs="Arial"/>
        </w:rPr>
        <w:t>generate</w:t>
      </w:r>
      <w:r w:rsidRPr="003C47B0">
        <w:rPr>
          <w:rFonts w:cs="Arial"/>
        </w:rPr>
        <w:t xml:space="preserve"> advantages </w:t>
      </w:r>
      <w:r>
        <w:rPr>
          <w:rFonts w:cs="Arial"/>
        </w:rPr>
        <w:t>in</w:t>
      </w:r>
      <w:r w:rsidRPr="003C47B0">
        <w:rPr>
          <w:rFonts w:cs="Arial"/>
        </w:rPr>
        <w:t xml:space="preserve"> managing and monitoring agri-food products quality in an industry 4.0 approach.</w:t>
      </w:r>
    </w:p>
    <w:p w14:paraId="05DFD5E5" w14:textId="77777777" w:rsidR="009B5C74" w:rsidRDefault="009B5C74" w:rsidP="009B5C74">
      <w:pPr>
        <w:jc w:val="both"/>
        <w:rPr>
          <w:b/>
        </w:rPr>
      </w:pPr>
    </w:p>
    <w:p w14:paraId="771D6836" w14:textId="77777777" w:rsidR="009B5C74" w:rsidRPr="003C47B0" w:rsidRDefault="009B5C74" w:rsidP="009B5C74">
      <w:pPr>
        <w:jc w:val="both"/>
        <w:rPr>
          <w:rFonts w:cs="Arial"/>
        </w:rPr>
      </w:pPr>
      <w:r w:rsidRPr="003C47B0">
        <w:rPr>
          <w:b/>
        </w:rPr>
        <w:t>Keywords.</w:t>
      </w:r>
      <w:r w:rsidRPr="003C47B0">
        <w:t xml:space="preserve"> </w:t>
      </w:r>
      <w:r w:rsidRPr="003C47B0">
        <w:rPr>
          <w:rFonts w:cs="Arial"/>
        </w:rPr>
        <w:t>Optical technique, prototype, chemometrics, technological maturation, sustainability, LCA</w:t>
      </w:r>
      <w:r>
        <w:rPr>
          <w:rFonts w:cs="Arial"/>
        </w:rPr>
        <w:t>.</w:t>
      </w:r>
    </w:p>
    <w:p w14:paraId="3E33DE65" w14:textId="77777777" w:rsidR="009B5C74" w:rsidRDefault="009B5C74" w:rsidP="009B5C74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66E7AF6B" w14:textId="77777777" w:rsidR="009B5C74" w:rsidRPr="007F1EC3" w:rsidRDefault="009B5C74" w:rsidP="009B5C74">
      <w:pPr>
        <w:ind w:left="284" w:hanging="284"/>
        <w:jc w:val="both"/>
        <w:rPr>
          <w:noProof/>
          <w:sz w:val="22"/>
          <w:lang w:val="en-GB"/>
        </w:rPr>
      </w:pPr>
      <w:r w:rsidRPr="007F1EC3">
        <w:rPr>
          <w:noProof/>
          <w:sz w:val="22"/>
          <w:lang w:val="en-GB"/>
        </w:rPr>
        <w:t>Xiao, H., Feng, L., Song, D., Tu, K., Peng, J., &amp; Pan, L. (2019). Grading and sorting of grape berries using visible-near infrared spectroscopy on the basis of multiple inner quality parameters. Sensors, 19(11), 2600.</w:t>
      </w:r>
    </w:p>
    <w:p w14:paraId="614176D5" w14:textId="77777777" w:rsidR="009B5C74" w:rsidRPr="00010821" w:rsidRDefault="009B5C74" w:rsidP="009B5C74">
      <w:pPr>
        <w:ind w:left="284" w:hanging="284"/>
        <w:jc w:val="both"/>
        <w:rPr>
          <w:noProof/>
          <w:sz w:val="22"/>
          <w:lang w:val="it-IT"/>
        </w:rPr>
      </w:pPr>
      <w:r w:rsidRPr="007F1EC3">
        <w:rPr>
          <w:noProof/>
          <w:sz w:val="22"/>
          <w:lang w:val="en-GB"/>
        </w:rPr>
        <w:t xml:space="preserve">Dambergs, B., Kambouris, B., Gishen, M., &amp; Francis, L. (2000). Measuring fruit quality. In Modern viticulture-meeting market specifications: proceedings ASVO viticulture seminar (pp. 45-47). </w:t>
      </w:r>
      <w:r w:rsidRPr="00010821">
        <w:rPr>
          <w:noProof/>
          <w:sz w:val="22"/>
          <w:lang w:val="it-IT"/>
        </w:rPr>
        <w:t>Australian Society of Viticulture and Oenology.</w:t>
      </w:r>
    </w:p>
    <w:p w14:paraId="2778B6DA" w14:textId="77777777" w:rsidR="009B5C74" w:rsidRPr="00010821" w:rsidRDefault="009B5C74" w:rsidP="009B5C74">
      <w:pPr>
        <w:ind w:left="284" w:hanging="284"/>
        <w:jc w:val="both"/>
        <w:rPr>
          <w:noProof/>
          <w:sz w:val="22"/>
          <w:lang w:val="it-IT"/>
        </w:rPr>
      </w:pPr>
    </w:p>
    <w:p w14:paraId="11585FB3" w14:textId="77777777" w:rsidR="00756BE7" w:rsidRDefault="00756BE7"/>
    <w:sectPr w:rsidR="00756BE7" w:rsidSect="00F46A13">
      <w:headerReference w:type="even" r:id="rId7"/>
      <w:headerReference w:type="default" r:id="rId8"/>
      <w:headerReference w:type="first" r:id="rId9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8836" w14:textId="77777777" w:rsidR="00F94D72" w:rsidRDefault="00F94D72">
      <w:r>
        <w:separator/>
      </w:r>
    </w:p>
  </w:endnote>
  <w:endnote w:type="continuationSeparator" w:id="0">
    <w:p w14:paraId="0C57E738" w14:textId="77777777" w:rsidR="00F94D72" w:rsidRDefault="00F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A869" w14:textId="77777777" w:rsidR="00F94D72" w:rsidRDefault="00F94D72">
      <w:r>
        <w:separator/>
      </w:r>
    </w:p>
  </w:footnote>
  <w:footnote w:type="continuationSeparator" w:id="0">
    <w:p w14:paraId="05A679F4" w14:textId="77777777" w:rsidR="00F94D72" w:rsidRDefault="00F9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D24E" w14:textId="77777777" w:rsidR="00045DD5" w:rsidRDefault="00F94D72">
    <w:pPr>
      <w:pStyle w:val="Intestazione"/>
    </w:pPr>
  </w:p>
  <w:p w14:paraId="05E3D9D6" w14:textId="77777777" w:rsidR="008846B7" w:rsidRDefault="009B5C74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C6AE80" wp14:editId="31210C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20346B" id="Rectangle 1" o:spid="_x0000_s1026" style="position:absolute;margin-left:0;margin-top:0;width:0;height:0;z-index:-25165619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7E3" w14:textId="77777777" w:rsidR="00B57FD3" w:rsidRDefault="00F94D72">
    <w:pPr>
      <w:pStyle w:val="Intestazione"/>
    </w:pPr>
  </w:p>
  <w:p w14:paraId="5E9F64BB" w14:textId="77777777" w:rsidR="008846B7" w:rsidRDefault="009B5C74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F836A2" wp14:editId="5C54BA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917B5C2" id="Rectangle 1" o:spid="_x0000_s1026" style="position:absolute;margin-left:0;margin-top:0;width:0;height:0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5CA" w14:textId="77777777" w:rsidR="00F46A13" w:rsidRDefault="009B5C7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2336" behindDoc="0" locked="0" layoutInCell="1" allowOverlap="1" wp14:anchorId="397DA579" wp14:editId="2441F531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168114D" wp14:editId="606C68CC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63AA1DC1" w14:textId="77777777" w:rsidR="00F46A13" w:rsidRDefault="009B5C7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104457DF" w14:textId="77777777" w:rsidR="00B57FD3" w:rsidRPr="0071430C" w:rsidRDefault="009B5C7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28EBC8ED" w14:textId="77777777" w:rsidR="008846B7" w:rsidRDefault="009B5C74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FD524C" wp14:editId="464AEE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5DBB3CC" id="Rectangle 1" o:spid="_x0000_s1026" style="position:absolute;margin-left:0;margin-top:0;width:0;height:0;z-index:-25165516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4"/>
    <w:rsid w:val="003D71D0"/>
    <w:rsid w:val="006F70DF"/>
    <w:rsid w:val="007336CA"/>
    <w:rsid w:val="00756BE7"/>
    <w:rsid w:val="00946B09"/>
    <w:rsid w:val="009A1D38"/>
    <w:rsid w:val="009B5C74"/>
    <w:rsid w:val="00F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70C2F"/>
  <w15:chartTrackingRefBased/>
  <w15:docId w15:val="{6D4D0A17-93B0-483D-B480-3460673B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5C7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B5C7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5C7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ferencesTitle">
    <w:name w:val="References Title"/>
    <w:basedOn w:val="Normale"/>
    <w:rsid w:val="009B5C74"/>
    <w:pPr>
      <w:spacing w:before="360" w:after="120"/>
    </w:pPr>
    <w:rPr>
      <w:b/>
      <w:caps/>
    </w:rPr>
  </w:style>
  <w:style w:type="paragraph" w:customStyle="1" w:styleId="Address">
    <w:name w:val="Address"/>
    <w:basedOn w:val="Normale"/>
    <w:next w:val="Normale"/>
    <w:rsid w:val="009B5C74"/>
    <w:pPr>
      <w:spacing w:before="120" w:after="60"/>
      <w:ind w:left="720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.beghi@unim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Pampuri</dc:creator>
  <cp:keywords/>
  <dc:description/>
  <cp:lastModifiedBy>Roberto Beghi</cp:lastModifiedBy>
  <cp:revision>5</cp:revision>
  <dcterms:created xsi:type="dcterms:W3CDTF">2022-04-20T13:47:00Z</dcterms:created>
  <dcterms:modified xsi:type="dcterms:W3CDTF">2022-04-20T14:26:00Z</dcterms:modified>
</cp:coreProperties>
</file>