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3F0A" w14:textId="77777777" w:rsidR="00E01F44" w:rsidRDefault="00E01F44" w:rsidP="00E01F44">
      <w:pPr>
        <w:jc w:val="center"/>
        <w:rPr>
          <w:b/>
          <w:bCs/>
          <w:sz w:val="28"/>
          <w:szCs w:val="28"/>
        </w:rPr>
      </w:pPr>
    </w:p>
    <w:p w14:paraId="298722DD" w14:textId="77777777" w:rsidR="00E01F44" w:rsidRDefault="00E01F44" w:rsidP="00E01F44">
      <w:pPr>
        <w:jc w:val="center"/>
        <w:rPr>
          <w:b/>
          <w:bCs/>
          <w:sz w:val="28"/>
          <w:szCs w:val="28"/>
          <w:lang w:val="it-IT"/>
        </w:rPr>
      </w:pPr>
      <w:r w:rsidRPr="00D660E9">
        <w:rPr>
          <w:b/>
          <w:bCs/>
          <w:sz w:val="28"/>
          <w:szCs w:val="28"/>
          <w:lang w:val="it-IT"/>
        </w:rPr>
        <w:t>C</w:t>
      </w:r>
      <w:r w:rsidRPr="007114B6">
        <w:rPr>
          <w:b/>
          <w:bCs/>
          <w:sz w:val="28"/>
          <w:szCs w:val="28"/>
          <w:lang w:val="it-IT"/>
        </w:rPr>
        <w:t>onfront</w:t>
      </w:r>
      <w:r>
        <w:rPr>
          <w:b/>
          <w:bCs/>
          <w:sz w:val="28"/>
          <w:szCs w:val="28"/>
          <w:lang w:val="it-IT"/>
        </w:rPr>
        <w:t>o</w:t>
      </w:r>
      <w:r w:rsidRPr="007114B6">
        <w:rPr>
          <w:b/>
          <w:bCs/>
          <w:sz w:val="28"/>
          <w:szCs w:val="28"/>
          <w:lang w:val="it-IT"/>
        </w:rPr>
        <w:t xml:space="preserve"> </w:t>
      </w:r>
      <w:r>
        <w:rPr>
          <w:b/>
          <w:bCs/>
          <w:sz w:val="28"/>
          <w:szCs w:val="28"/>
          <w:lang w:val="it-IT"/>
        </w:rPr>
        <w:t>del</w:t>
      </w:r>
      <w:r w:rsidRPr="007114B6">
        <w:rPr>
          <w:b/>
          <w:bCs/>
          <w:sz w:val="28"/>
          <w:szCs w:val="28"/>
          <w:lang w:val="it-IT"/>
        </w:rPr>
        <w:t>l</w:t>
      </w:r>
      <w:r>
        <w:rPr>
          <w:b/>
          <w:bCs/>
          <w:sz w:val="28"/>
          <w:szCs w:val="28"/>
          <w:lang w:val="it-IT"/>
        </w:rPr>
        <w:t>’impatto ambientale tra analisi ottiche e analisi chimiche per valutare i parametri qualitativi dell’uva (</w:t>
      </w:r>
      <w:proofErr w:type="spellStart"/>
      <w:r>
        <w:rPr>
          <w:b/>
          <w:bCs/>
          <w:sz w:val="28"/>
          <w:szCs w:val="28"/>
          <w:lang w:val="it-IT"/>
        </w:rPr>
        <w:t>Vitis</w:t>
      </w:r>
      <w:proofErr w:type="spellEnd"/>
      <w:r>
        <w:rPr>
          <w:b/>
          <w:bCs/>
          <w:sz w:val="28"/>
          <w:szCs w:val="28"/>
          <w:lang w:val="it-IT"/>
        </w:rPr>
        <w:t xml:space="preserve"> vinifera L.)</w:t>
      </w:r>
    </w:p>
    <w:p w14:paraId="40514E9A" w14:textId="77777777" w:rsidR="00E01F44" w:rsidRPr="00010821" w:rsidRDefault="00E01F44" w:rsidP="00E01F44">
      <w:pPr>
        <w:rPr>
          <w:b/>
          <w:bCs/>
          <w:sz w:val="28"/>
          <w:szCs w:val="28"/>
          <w:lang w:val="it-IT"/>
        </w:rPr>
      </w:pPr>
    </w:p>
    <w:p w14:paraId="0A414D61" w14:textId="77777777" w:rsidR="00E01F44" w:rsidRPr="00762EFC" w:rsidRDefault="00E01F44" w:rsidP="00E01F44">
      <w:pPr>
        <w:jc w:val="center"/>
        <w:rPr>
          <w:b/>
          <w:bCs/>
          <w:vertAlign w:val="superscript"/>
          <w:lang w:val="it-IT"/>
        </w:rPr>
      </w:pPr>
      <w:r w:rsidRPr="00762EFC">
        <w:rPr>
          <w:b/>
          <w:bCs/>
          <w:lang w:val="it-IT"/>
        </w:rPr>
        <w:t>Martina Zambelli,</w:t>
      </w:r>
      <w:r>
        <w:rPr>
          <w:b/>
          <w:bCs/>
          <w:lang w:val="it-IT"/>
        </w:rPr>
        <w:t xml:space="preserve"> </w:t>
      </w:r>
      <w:r w:rsidRPr="00762EFC">
        <w:rPr>
          <w:b/>
          <w:bCs/>
          <w:lang w:val="it-IT"/>
        </w:rPr>
        <w:t>Roberto Beghi</w:t>
      </w:r>
      <w:r>
        <w:rPr>
          <w:b/>
          <w:bCs/>
          <w:lang w:val="it-IT"/>
        </w:rPr>
        <w:t>*,</w:t>
      </w:r>
      <w:r w:rsidRPr="00762EFC">
        <w:rPr>
          <w:b/>
          <w:bCs/>
          <w:vertAlign w:val="superscript"/>
          <w:lang w:val="it-IT"/>
        </w:rPr>
        <w:t xml:space="preserve"> </w:t>
      </w:r>
      <w:r w:rsidRPr="00762EFC">
        <w:rPr>
          <w:b/>
          <w:bCs/>
          <w:lang w:val="it-IT"/>
        </w:rPr>
        <w:t>Andrea Casson, Alessia Pampuri, Alessio Tugnolo, Riccardo Guidetti, Valentina Giovenzana</w:t>
      </w:r>
    </w:p>
    <w:p w14:paraId="06423724" w14:textId="77777777" w:rsidR="00E01F44" w:rsidRPr="00762EFC" w:rsidRDefault="00E01F44" w:rsidP="00E01F44">
      <w:pPr>
        <w:jc w:val="center"/>
        <w:rPr>
          <w:b/>
          <w:bCs/>
          <w:color w:val="000000" w:themeColor="text1"/>
          <w:vertAlign w:val="superscript"/>
          <w:lang w:val="it-IT"/>
        </w:rPr>
      </w:pPr>
    </w:p>
    <w:p w14:paraId="712B17AD" w14:textId="77777777" w:rsidR="00F17C7C" w:rsidRDefault="00F17C7C" w:rsidP="00F17C7C">
      <w:pPr>
        <w:jc w:val="center"/>
        <w:rPr>
          <w:lang w:val="it-IT"/>
        </w:rPr>
      </w:pPr>
      <w:r w:rsidRPr="00FB7D86">
        <w:rPr>
          <w:lang w:val="it-IT"/>
        </w:rPr>
        <w:t>Dipartimento di</w:t>
      </w:r>
      <w:r>
        <w:rPr>
          <w:lang w:val="it-IT"/>
        </w:rPr>
        <w:t xml:space="preserve"> Scienze Agrarie e Ambientali – Produzione, Territorio, Agroenergia</w:t>
      </w:r>
      <w:r w:rsidRPr="00FB7D86">
        <w:rPr>
          <w:lang w:val="it-IT"/>
        </w:rPr>
        <w:t xml:space="preserve">, Università degli Studi di Milano, </w:t>
      </w:r>
      <w:r>
        <w:rPr>
          <w:lang w:val="it-IT"/>
        </w:rPr>
        <w:t>V</w:t>
      </w:r>
      <w:r w:rsidRPr="00FB7D86">
        <w:rPr>
          <w:lang w:val="it-IT"/>
        </w:rPr>
        <w:t>ia Celoria 2, 20133, Milano, Ital</w:t>
      </w:r>
      <w:r>
        <w:rPr>
          <w:lang w:val="it-IT"/>
        </w:rPr>
        <w:t>ia</w:t>
      </w:r>
    </w:p>
    <w:p w14:paraId="773BB07A" w14:textId="77777777" w:rsidR="00E01F44" w:rsidRPr="00010821" w:rsidRDefault="00E01F44" w:rsidP="00E01F44">
      <w:pPr>
        <w:pStyle w:val="Address"/>
        <w:ind w:left="0"/>
        <w:jc w:val="center"/>
        <w:rPr>
          <w:rFonts w:ascii="Times New Roman" w:hAnsi="Times New Roman"/>
          <w:sz w:val="24"/>
          <w:szCs w:val="24"/>
          <w:lang w:val="it-IT"/>
        </w:rPr>
      </w:pPr>
      <w:r w:rsidRPr="00F17C7C">
        <w:rPr>
          <w:rFonts w:ascii="Times New Roman" w:hAnsi="Times New Roman"/>
          <w:b/>
          <w:sz w:val="24"/>
          <w:szCs w:val="24"/>
        </w:rPr>
        <w:t>*</w:t>
      </w:r>
      <w:r w:rsidRPr="00F17C7C">
        <w:rPr>
          <w:rFonts w:ascii="Times New Roman" w:hAnsi="Times New Roman"/>
          <w:sz w:val="24"/>
          <w:szCs w:val="24"/>
        </w:rPr>
        <w:t xml:space="preserve">Corresponding Author: </w:t>
      </w:r>
      <w:hyperlink r:id="rId6" w:history="1">
        <w:r w:rsidRPr="00F17C7C">
          <w:rPr>
            <w:rStyle w:val="Hyperlink"/>
            <w:rFonts w:ascii="Times New Roman" w:hAnsi="Times New Roman"/>
            <w:sz w:val="24"/>
            <w:szCs w:val="24"/>
          </w:rPr>
          <w:t>roberto.beghi@unimi.it</w:t>
        </w:r>
      </w:hyperlink>
      <w:r w:rsidRPr="00F17C7C">
        <w:rPr>
          <w:rStyle w:val="Hyperlink"/>
          <w:rFonts w:ascii="Times New Roman" w:hAnsi="Times New Roman"/>
          <w:sz w:val="24"/>
          <w:szCs w:val="24"/>
        </w:rPr>
        <w:t xml:space="preserve"> </w:t>
      </w:r>
      <w:r w:rsidRPr="00F17C7C">
        <w:rPr>
          <w:rFonts w:ascii="Times New Roman" w:hAnsi="Times New Roman"/>
          <w:sz w:val="24"/>
          <w:szCs w:val="24"/>
        </w:rPr>
        <w:t xml:space="preserve">- tel. </w:t>
      </w:r>
      <w:r w:rsidRPr="00010821">
        <w:rPr>
          <w:rFonts w:ascii="Times New Roman" w:hAnsi="Times New Roman"/>
          <w:sz w:val="24"/>
          <w:szCs w:val="24"/>
          <w:lang w:val="it-IT"/>
        </w:rPr>
        <w:t>+39 02 50316843</w:t>
      </w:r>
    </w:p>
    <w:p w14:paraId="47EE3407" w14:textId="77777777" w:rsidR="00E01F44" w:rsidRPr="00010821" w:rsidRDefault="00E01F44" w:rsidP="00E01F44">
      <w:pPr>
        <w:jc w:val="both"/>
        <w:rPr>
          <w:b/>
          <w:lang w:val="it-IT"/>
        </w:rPr>
      </w:pPr>
    </w:p>
    <w:p w14:paraId="184EC630" w14:textId="77777777" w:rsidR="00E01F44" w:rsidRDefault="00E01F44" w:rsidP="00E01F44">
      <w:pPr>
        <w:jc w:val="both"/>
        <w:rPr>
          <w:rFonts w:cs="Arial"/>
          <w:lang w:val="it-IT"/>
        </w:rPr>
      </w:pPr>
      <w:r w:rsidRPr="001C0FAF">
        <w:rPr>
          <w:rFonts w:cs="Arial"/>
          <w:lang w:val="it-IT"/>
        </w:rPr>
        <w:t>La composizione qualitative dell’uva a</w:t>
      </w:r>
      <w:r>
        <w:rPr>
          <w:rFonts w:cs="Arial"/>
          <w:lang w:val="it-IT"/>
        </w:rPr>
        <w:t xml:space="preserve">l momento della vendemmia è uno dei fattori più importanti che determinano la futura qualità del vino </w:t>
      </w:r>
      <w:r w:rsidRPr="001C0FAF">
        <w:rPr>
          <w:rFonts w:cs="Arial"/>
          <w:lang w:val="it-IT"/>
        </w:rPr>
        <w:t>(</w:t>
      </w:r>
      <w:proofErr w:type="spellStart"/>
      <w:r w:rsidRPr="001C0FAF">
        <w:rPr>
          <w:rFonts w:cs="Arial"/>
          <w:lang w:val="it-IT"/>
        </w:rPr>
        <w:t>Dambergs</w:t>
      </w:r>
      <w:proofErr w:type="spellEnd"/>
      <w:r w:rsidRPr="001C0FAF">
        <w:rPr>
          <w:rFonts w:cs="Arial"/>
          <w:lang w:val="it-IT"/>
        </w:rPr>
        <w:t xml:space="preserve"> et al., 2000; R.G. Xiao et al., 2019).</w:t>
      </w:r>
      <w:r>
        <w:rPr>
          <w:rFonts w:cs="Arial"/>
          <w:lang w:val="it-IT"/>
        </w:rPr>
        <w:t xml:space="preserve"> Il contenuto in zuccheri, l’acidità totale e il pH sono alcuni dei principali parametri di qualità dell’uva che si ottengono attraverso le analisi chimiche che implicano l’uso di reagenti chimici, la distruzione dei campioni e procedure che richiedono tempo. Per superare questi problemi tecnici, le tecniche ottiche possono essere valide alternative per monitorare la maturazione tecnologica delle uve.</w:t>
      </w:r>
    </w:p>
    <w:p w14:paraId="2115EA85" w14:textId="277DDFB9" w:rsidR="00E01F44" w:rsidRDefault="00E01F44" w:rsidP="00E01F44">
      <w:pPr>
        <w:jc w:val="both"/>
        <w:rPr>
          <w:rFonts w:cs="Arial"/>
          <w:lang w:val="it-IT"/>
        </w:rPr>
      </w:pPr>
      <w:r>
        <w:rPr>
          <w:rFonts w:cs="Arial"/>
          <w:lang w:val="it-IT"/>
        </w:rPr>
        <w:t xml:space="preserve">In questo contesto, questo lavoro mira a valutare e confrontare l’impatto ambientale di tre differenti analisi considerando tre diversi approcci: il metodo delle analisi chimiche, le tecniche ottiche utilizzando strumenti da banco e le tecniche ottiche utilizzando dispositivi innovativi, </w:t>
      </w:r>
      <w:r w:rsidR="008166EB">
        <w:rPr>
          <w:rFonts w:cs="Arial"/>
          <w:lang w:val="it-IT"/>
        </w:rPr>
        <w:t>compatti</w:t>
      </w:r>
      <w:r>
        <w:rPr>
          <w:rFonts w:cs="Arial"/>
          <w:lang w:val="it-IT"/>
        </w:rPr>
        <w:t xml:space="preserve"> ed economici. La metodologia utilizzata per individuare la soluzione più conveniente dal punto di vista dell’impatto ambientale è stata il Life Cycle Assessment (LCA) ovvero l’analisi del ciclo di vita. L’unità funzionale è stata individuata mediante l’esecuzione delle analisi necessarie per ottenere i tre parametri tecnologici ed è stato utilizzato un approccio “dalla culla alla tomba” per la valutazione.</w:t>
      </w:r>
    </w:p>
    <w:p w14:paraId="60D2A3F1" w14:textId="1C96C6C1" w:rsidR="00E01F44" w:rsidRDefault="00E01F44" w:rsidP="00E01F44">
      <w:pPr>
        <w:jc w:val="both"/>
        <w:rPr>
          <w:rFonts w:cs="Arial"/>
          <w:lang w:val="it-IT"/>
        </w:rPr>
      </w:pPr>
      <w:r>
        <w:rPr>
          <w:rFonts w:cs="Arial"/>
          <w:lang w:val="it-IT"/>
        </w:rPr>
        <w:t xml:space="preserve">I risultati dimostrano i vantaggi degli strumenti da banco e delle soluzioni innovative nell’ottenere i tre parametri qualitativi con una sola analisi. Tra le alternative, </w:t>
      </w:r>
      <w:r w:rsidR="00C155B3">
        <w:rPr>
          <w:rFonts w:cs="Arial"/>
          <w:lang w:val="it-IT"/>
        </w:rPr>
        <w:t xml:space="preserve">i dispositivi compatti </w:t>
      </w:r>
      <w:r w:rsidR="00CD411A">
        <w:rPr>
          <w:rFonts w:cs="Arial"/>
          <w:lang w:val="it-IT"/>
        </w:rPr>
        <w:t>di basso costo risultano</w:t>
      </w:r>
      <w:r>
        <w:rPr>
          <w:rFonts w:cs="Arial"/>
          <w:lang w:val="it-IT"/>
        </w:rPr>
        <w:t xml:space="preserve"> essere la soluzione più green</w:t>
      </w:r>
      <w:r w:rsidR="003816B2">
        <w:rPr>
          <w:rFonts w:cs="Arial"/>
          <w:lang w:val="it-IT"/>
        </w:rPr>
        <w:t xml:space="preserve">, </w:t>
      </w:r>
      <w:r>
        <w:rPr>
          <w:rFonts w:cs="Arial"/>
          <w:lang w:val="it-IT"/>
        </w:rPr>
        <w:t>3,2 volte più sostenibile rispetto alle analisi chimiche. Tuttavia, la performance</w:t>
      </w:r>
      <w:r w:rsidR="003816B2">
        <w:rPr>
          <w:rFonts w:cs="Arial"/>
          <w:lang w:val="it-IT"/>
        </w:rPr>
        <w:t xml:space="preserve"> della</w:t>
      </w:r>
      <w:r>
        <w:rPr>
          <w:rFonts w:cs="Arial"/>
          <w:lang w:val="it-IT"/>
        </w:rPr>
        <w:t xml:space="preserve"> soluzione ottica </w:t>
      </w:r>
      <w:r w:rsidR="003816B2">
        <w:rPr>
          <w:rFonts w:cs="Arial"/>
          <w:lang w:val="it-IT"/>
        </w:rPr>
        <w:t xml:space="preserve">innovativa </w:t>
      </w:r>
      <w:r>
        <w:rPr>
          <w:rFonts w:cs="Arial"/>
          <w:lang w:val="it-IT"/>
        </w:rPr>
        <w:t xml:space="preserve">potrebbe non </w:t>
      </w:r>
      <w:r w:rsidR="004F46D1">
        <w:rPr>
          <w:rFonts w:cs="Arial"/>
          <w:lang w:val="it-IT"/>
        </w:rPr>
        <w:t>garantire</w:t>
      </w:r>
      <w:r>
        <w:rPr>
          <w:rFonts w:cs="Arial"/>
          <w:lang w:val="it-IT"/>
        </w:rPr>
        <w:t xml:space="preserve"> risultati precisi e affidabili</w:t>
      </w:r>
      <w:r w:rsidR="00E815AC">
        <w:rPr>
          <w:rFonts w:cs="Arial"/>
          <w:lang w:val="it-IT"/>
        </w:rPr>
        <w:t xml:space="preserve"> all’altezza delle aspettative</w:t>
      </w:r>
      <w:r>
        <w:rPr>
          <w:rFonts w:cs="Arial"/>
          <w:lang w:val="it-IT"/>
        </w:rPr>
        <w:t>. Per questo motivo i risultati sono stati adeguati considerando un fattore di performance, confermando ancora una volta quanto ottenuto nello scenario precedente. Questo lavoro dimostra come le innovazioni in agricoltura, come lo sviluppo di soluzioni smart, potrebbero generare vantaggi nella gestione e nel monitoraggio della qualità dei prodotti agroalimentari con un approccio di industria 4.0.</w:t>
      </w:r>
    </w:p>
    <w:p w14:paraId="0BE8342A" w14:textId="77777777" w:rsidR="00E01F44" w:rsidRPr="001C0FAF" w:rsidRDefault="00E01F44" w:rsidP="00E01F44">
      <w:pPr>
        <w:jc w:val="both"/>
        <w:rPr>
          <w:rFonts w:cs="Arial"/>
          <w:lang w:val="it-IT"/>
        </w:rPr>
      </w:pPr>
    </w:p>
    <w:p w14:paraId="6625DA0A" w14:textId="77777777" w:rsidR="00E01F44" w:rsidRPr="00010821" w:rsidRDefault="00E01F44" w:rsidP="00E01F44">
      <w:pPr>
        <w:jc w:val="both"/>
        <w:rPr>
          <w:b/>
          <w:lang w:val="it-IT"/>
        </w:rPr>
      </w:pPr>
    </w:p>
    <w:p w14:paraId="552AA6F8" w14:textId="77777777" w:rsidR="00E01F44" w:rsidRPr="00C14DFB" w:rsidRDefault="00E01F44" w:rsidP="00E01F44">
      <w:pPr>
        <w:jc w:val="both"/>
        <w:rPr>
          <w:rFonts w:cs="Arial"/>
          <w:lang w:val="it-IT"/>
        </w:rPr>
      </w:pPr>
      <w:r w:rsidRPr="00010821">
        <w:rPr>
          <w:b/>
          <w:lang w:val="it-IT"/>
        </w:rPr>
        <w:t>Keywords.</w:t>
      </w:r>
      <w:r w:rsidRPr="00010821">
        <w:rPr>
          <w:lang w:val="it-IT"/>
        </w:rPr>
        <w:t xml:space="preserve"> </w:t>
      </w:r>
      <w:r w:rsidRPr="00C14DFB">
        <w:rPr>
          <w:rFonts w:cs="Arial"/>
          <w:lang w:val="it-IT"/>
        </w:rPr>
        <w:t>Tecniche otti</w:t>
      </w:r>
      <w:r>
        <w:rPr>
          <w:rFonts w:cs="Arial"/>
          <w:lang w:val="it-IT"/>
        </w:rPr>
        <w:t>che</w:t>
      </w:r>
      <w:r w:rsidRPr="00C14DFB">
        <w:rPr>
          <w:rFonts w:cs="Arial"/>
          <w:lang w:val="it-IT"/>
        </w:rPr>
        <w:t>, protot</w:t>
      </w:r>
      <w:r>
        <w:rPr>
          <w:rFonts w:cs="Arial"/>
          <w:lang w:val="it-IT"/>
        </w:rPr>
        <w:t>ipo</w:t>
      </w:r>
      <w:r w:rsidRPr="00C14DFB">
        <w:rPr>
          <w:rFonts w:cs="Arial"/>
          <w:lang w:val="it-IT"/>
        </w:rPr>
        <w:t>, chem</w:t>
      </w:r>
      <w:r>
        <w:rPr>
          <w:rFonts w:cs="Arial"/>
          <w:lang w:val="it-IT"/>
        </w:rPr>
        <w:t>iometria</w:t>
      </w:r>
      <w:r w:rsidRPr="00C14DFB">
        <w:rPr>
          <w:rFonts w:cs="Arial"/>
          <w:lang w:val="it-IT"/>
        </w:rPr>
        <w:t xml:space="preserve">, </w:t>
      </w:r>
      <w:r>
        <w:rPr>
          <w:rFonts w:cs="Arial"/>
          <w:lang w:val="it-IT"/>
        </w:rPr>
        <w:t>maturazione tecnologica</w:t>
      </w:r>
      <w:r w:rsidRPr="00C14DFB">
        <w:rPr>
          <w:rFonts w:cs="Arial"/>
          <w:lang w:val="it-IT"/>
        </w:rPr>
        <w:t>, s</w:t>
      </w:r>
      <w:r>
        <w:rPr>
          <w:rFonts w:cs="Arial"/>
          <w:lang w:val="it-IT"/>
        </w:rPr>
        <w:t>ostenibilità</w:t>
      </w:r>
      <w:r w:rsidRPr="00C14DFB">
        <w:rPr>
          <w:rFonts w:cs="Arial"/>
          <w:lang w:val="it-IT"/>
        </w:rPr>
        <w:t>, LCA</w:t>
      </w:r>
      <w:r>
        <w:rPr>
          <w:rFonts w:cs="Arial"/>
          <w:lang w:val="it-IT"/>
        </w:rPr>
        <w:t>.</w:t>
      </w:r>
    </w:p>
    <w:p w14:paraId="6054632A" w14:textId="77777777" w:rsidR="00E01F44" w:rsidRDefault="00E01F44" w:rsidP="00E01F44">
      <w:pPr>
        <w:pStyle w:val="ReferencesTitle"/>
        <w:rPr>
          <w:lang w:val="en-GB"/>
        </w:rPr>
      </w:pPr>
      <w:r w:rsidRPr="00CA258B">
        <w:rPr>
          <w:lang w:val="en-GB"/>
        </w:rPr>
        <w:t xml:space="preserve">REFERENCES </w:t>
      </w:r>
    </w:p>
    <w:p w14:paraId="206D31C1" w14:textId="77777777" w:rsidR="00E01F44" w:rsidRPr="007F1EC3" w:rsidRDefault="00E01F44" w:rsidP="00E01F44">
      <w:pPr>
        <w:ind w:left="284" w:hanging="284"/>
        <w:jc w:val="both"/>
        <w:rPr>
          <w:noProof/>
          <w:sz w:val="22"/>
          <w:lang w:val="en-GB"/>
        </w:rPr>
      </w:pPr>
      <w:r w:rsidRPr="007F1EC3">
        <w:rPr>
          <w:noProof/>
          <w:sz w:val="22"/>
          <w:lang w:val="en-GB"/>
        </w:rPr>
        <w:t>Xiao, H., Feng, L., Song, D., Tu, K., Peng, J., &amp; Pan, L. (2019). Grading and sorting of grape berries using visible-near infrared spectroscopy on the basis of multiple inner quality parameters. Sensors, 19(11), 2600.</w:t>
      </w:r>
    </w:p>
    <w:p w14:paraId="181A7762" w14:textId="77777777" w:rsidR="00E01F44" w:rsidRPr="007F1EC3" w:rsidRDefault="00E01F44" w:rsidP="00E01F44">
      <w:pPr>
        <w:ind w:left="284" w:hanging="284"/>
        <w:jc w:val="both"/>
        <w:rPr>
          <w:noProof/>
          <w:sz w:val="22"/>
          <w:lang w:val="en-GB"/>
        </w:rPr>
      </w:pPr>
      <w:r w:rsidRPr="007F1EC3">
        <w:rPr>
          <w:noProof/>
          <w:sz w:val="22"/>
          <w:lang w:val="en-GB"/>
        </w:rPr>
        <w:t>Dambergs, B., Kambouris, B., Gishen, M., &amp; Francis, L. (2000). Measuring fruit quality. In Modern viticulture-meeting market specifications: proceedings ASVO viticulture seminar (pp. 45-47). Australian Society of Viticulture and Oenology.</w:t>
      </w:r>
    </w:p>
    <w:p w14:paraId="79A48C3A" w14:textId="77777777" w:rsidR="00756BE7" w:rsidRDefault="00756BE7"/>
    <w:sectPr w:rsidR="00756BE7" w:rsidSect="00F46A13">
      <w:headerReference w:type="even" r:id="rId7"/>
      <w:headerReference w:type="default" r:id="rId8"/>
      <w:headerReference w:type="first" r:id="rId9"/>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CBCA" w14:textId="77777777" w:rsidR="00413E5E" w:rsidRDefault="00413E5E">
      <w:r>
        <w:separator/>
      </w:r>
    </w:p>
  </w:endnote>
  <w:endnote w:type="continuationSeparator" w:id="0">
    <w:p w14:paraId="3FB57EA5" w14:textId="77777777" w:rsidR="00413E5E" w:rsidRDefault="0041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64AE" w14:textId="77777777" w:rsidR="00413E5E" w:rsidRDefault="00413E5E">
      <w:r>
        <w:separator/>
      </w:r>
    </w:p>
  </w:footnote>
  <w:footnote w:type="continuationSeparator" w:id="0">
    <w:p w14:paraId="40220C80" w14:textId="77777777" w:rsidR="00413E5E" w:rsidRDefault="0041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DAB0" w14:textId="77777777" w:rsidR="00045DD5" w:rsidRDefault="00F17C7C">
    <w:pPr>
      <w:pStyle w:val="Header"/>
    </w:pPr>
  </w:p>
  <w:p w14:paraId="62E96FBF" w14:textId="77777777" w:rsidR="008846B7" w:rsidRDefault="00E01F44">
    <w:r>
      <w:rPr>
        <w:noProof/>
      </w:rPr>
      <mc:AlternateContent>
        <mc:Choice Requires="wps">
          <w:drawing>
            <wp:anchor distT="0" distB="0" distL="114300" distR="114300" simplePos="0" relativeHeight="251660288" behindDoc="1" locked="0" layoutInCell="1" allowOverlap="1" wp14:anchorId="0E393EBD" wp14:editId="45288F35">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71957782" id="Rectangle 1" o:spid="_x0000_s1026" style="position:absolute;margin-left:0;margin-top:0;width:0;height:0;z-index:-25165619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0352" w14:textId="77777777" w:rsidR="00B57FD3" w:rsidRDefault="00F17C7C">
    <w:pPr>
      <w:pStyle w:val="Header"/>
    </w:pPr>
  </w:p>
  <w:p w14:paraId="78C1693B" w14:textId="77777777" w:rsidR="008846B7" w:rsidRDefault="00E01F44">
    <w:r>
      <w:rPr>
        <w:noProof/>
      </w:rPr>
      <mc:AlternateContent>
        <mc:Choice Requires="wps">
          <w:drawing>
            <wp:anchor distT="0" distB="0" distL="114300" distR="114300" simplePos="0" relativeHeight="251659264" behindDoc="1" locked="0" layoutInCell="1" allowOverlap="1" wp14:anchorId="400AC716" wp14:editId="788460DE">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0B846CFB" id="Rectangle 1" o:spid="_x0000_s1026" style="position:absolute;margin-left:0;margin-top:0;width:0;height:0;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9A39" w14:textId="77777777" w:rsidR="00F46A13" w:rsidRDefault="00E01F44" w:rsidP="00F46A13">
    <w:pPr>
      <w:pStyle w:val="Header"/>
      <w:tabs>
        <w:tab w:val="left" w:pos="2268"/>
        <w:tab w:val="left" w:pos="3119"/>
        <w:tab w:val="right" w:pos="9072"/>
      </w:tabs>
      <w:ind w:left="2772" w:firstLine="2268"/>
      <w:jc w:val="both"/>
      <w:rPr>
        <w:b/>
        <w:bCs/>
        <w:noProof/>
        <w:lang w:eastAsia="en-US"/>
      </w:rPr>
    </w:pPr>
    <w:r w:rsidRPr="00045DD5">
      <w:rPr>
        <w:b/>
        <w:bCs/>
        <w:noProof/>
        <w:lang w:eastAsia="en-US"/>
      </w:rPr>
      <w:drawing>
        <wp:anchor distT="0" distB="0" distL="114935" distR="114935" simplePos="0" relativeHeight="251662336" behindDoc="0" locked="0" layoutInCell="1" allowOverlap="1" wp14:anchorId="0985289A" wp14:editId="54734A7A">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rPr>
      <w:drawing>
        <wp:anchor distT="0" distB="0" distL="114300" distR="114300" simplePos="0" relativeHeight="251663360" behindDoc="0" locked="0" layoutInCell="1" allowOverlap="1" wp14:anchorId="65FCFC71" wp14:editId="356D57E3">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US"/>
      </w:rPr>
      <w:t>NIR ITALIA 2022</w:t>
    </w:r>
  </w:p>
  <w:p w14:paraId="782850A0" w14:textId="77777777" w:rsidR="00F46A13" w:rsidRDefault="00E01F44" w:rsidP="00F46A13">
    <w:pPr>
      <w:pStyle w:val="Header"/>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14:paraId="3DA9F4C0" w14:textId="77777777" w:rsidR="00B57FD3" w:rsidRPr="0071430C" w:rsidRDefault="00E01F44" w:rsidP="00F46A13">
    <w:pPr>
      <w:pStyle w:val="Header"/>
      <w:tabs>
        <w:tab w:val="left" w:pos="2268"/>
        <w:tab w:val="left" w:pos="3119"/>
        <w:tab w:val="right" w:pos="9072"/>
      </w:tabs>
      <w:ind w:left="2772" w:firstLine="2268"/>
      <w:jc w:val="both"/>
    </w:pPr>
    <w:r>
      <w:rPr>
        <w:bCs/>
        <w:iCs/>
        <w:sz w:val="20"/>
        <w:szCs w:val="20"/>
      </w:rPr>
      <w:t>Izola</w:t>
    </w:r>
    <w:r w:rsidRPr="0071430C">
      <w:rPr>
        <w:bCs/>
        <w:iCs/>
        <w:sz w:val="20"/>
        <w:szCs w:val="20"/>
      </w:rPr>
      <w:t>, Slovenia</w:t>
    </w:r>
    <w:r>
      <w:rPr>
        <w:bCs/>
        <w:iCs/>
        <w:sz w:val="20"/>
        <w:szCs w:val="20"/>
      </w:rPr>
      <w:t>,</w:t>
    </w:r>
    <w:r w:rsidRPr="0071430C">
      <w:rPr>
        <w:bCs/>
        <w:iCs/>
        <w:sz w:val="20"/>
        <w:szCs w:val="20"/>
      </w:rPr>
      <w:t xml:space="preserve"> </w:t>
    </w:r>
    <w:r>
      <w:rPr>
        <w:bCs/>
        <w:iCs/>
        <w:sz w:val="20"/>
        <w:szCs w:val="20"/>
      </w:rPr>
      <w:t>7-9</w:t>
    </w:r>
    <w:r w:rsidRPr="0071430C">
      <w:rPr>
        <w:bCs/>
        <w:iCs/>
        <w:sz w:val="20"/>
        <w:szCs w:val="20"/>
      </w:rPr>
      <w:t xml:space="preserve"> </w:t>
    </w:r>
    <w:r>
      <w:rPr>
        <w:bCs/>
        <w:iCs/>
        <w:sz w:val="20"/>
        <w:szCs w:val="20"/>
      </w:rPr>
      <w:t>June</w:t>
    </w:r>
    <w:r w:rsidRPr="0071430C">
      <w:rPr>
        <w:bCs/>
        <w:iCs/>
        <w:sz w:val="20"/>
        <w:szCs w:val="20"/>
      </w:rPr>
      <w:t xml:space="preserve"> 2020</w:t>
    </w:r>
  </w:p>
  <w:p w14:paraId="3C1F2F82" w14:textId="77777777" w:rsidR="008846B7" w:rsidRDefault="00E01F44">
    <w:r>
      <w:rPr>
        <w:noProof/>
      </w:rPr>
      <mc:AlternateContent>
        <mc:Choice Requires="wps">
          <w:drawing>
            <wp:anchor distT="0" distB="0" distL="114300" distR="114300" simplePos="0" relativeHeight="251661312" behindDoc="1" locked="0" layoutInCell="1" allowOverlap="1" wp14:anchorId="3ED17B54" wp14:editId="05751385">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0B3A1DB3" id="Rectangle 1" o:spid="_x0000_s1026" style="position:absolute;margin-left:0;margin-top:0;width:0;height:0;z-index:-25165516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44"/>
    <w:rsid w:val="003816B2"/>
    <w:rsid w:val="00413E5E"/>
    <w:rsid w:val="004F46D1"/>
    <w:rsid w:val="00756BE7"/>
    <w:rsid w:val="008166EB"/>
    <w:rsid w:val="00C155B3"/>
    <w:rsid w:val="00CD411A"/>
    <w:rsid w:val="00E01F44"/>
    <w:rsid w:val="00E815AC"/>
    <w:rsid w:val="00F1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E563"/>
  <w15:chartTrackingRefBased/>
  <w15:docId w15:val="{6F07F079-7ED5-4D88-A6F9-D1D8B3EF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4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F44"/>
    <w:rPr>
      <w:color w:val="0000FF"/>
      <w:u w:val="single"/>
    </w:rPr>
  </w:style>
  <w:style w:type="paragraph" w:styleId="Header">
    <w:name w:val="header"/>
    <w:basedOn w:val="Normal"/>
    <w:link w:val="HeaderChar"/>
    <w:rsid w:val="00E01F44"/>
    <w:pPr>
      <w:tabs>
        <w:tab w:val="center" w:pos="4320"/>
        <w:tab w:val="right" w:pos="8640"/>
      </w:tabs>
    </w:pPr>
  </w:style>
  <w:style w:type="character" w:customStyle="1" w:styleId="HeaderChar">
    <w:name w:val="Header Char"/>
    <w:basedOn w:val="DefaultParagraphFont"/>
    <w:link w:val="Header"/>
    <w:rsid w:val="00E01F44"/>
    <w:rPr>
      <w:rFonts w:ascii="Times New Roman" w:eastAsia="SimSun" w:hAnsi="Times New Roman" w:cs="Times New Roman"/>
      <w:sz w:val="24"/>
      <w:szCs w:val="24"/>
      <w:lang w:eastAsia="zh-CN"/>
    </w:rPr>
  </w:style>
  <w:style w:type="paragraph" w:customStyle="1" w:styleId="ReferencesTitle">
    <w:name w:val="References Title"/>
    <w:basedOn w:val="Normal"/>
    <w:rsid w:val="00E01F44"/>
    <w:pPr>
      <w:spacing w:before="360" w:after="120"/>
    </w:pPr>
    <w:rPr>
      <w:b/>
      <w:caps/>
    </w:rPr>
  </w:style>
  <w:style w:type="paragraph" w:customStyle="1" w:styleId="Address">
    <w:name w:val="Address"/>
    <w:basedOn w:val="Normal"/>
    <w:next w:val="Normal"/>
    <w:rsid w:val="00E01F44"/>
    <w:pPr>
      <w:spacing w:before="120" w:after="60"/>
      <w:ind w:left="720"/>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o.beghi@unimi.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Pampuri</dc:creator>
  <cp:keywords/>
  <dc:description/>
  <cp:lastModifiedBy>Alessia Pampuri</cp:lastModifiedBy>
  <cp:revision>8</cp:revision>
  <dcterms:created xsi:type="dcterms:W3CDTF">2022-04-20T13:48:00Z</dcterms:created>
  <dcterms:modified xsi:type="dcterms:W3CDTF">2022-04-20T14:39:00Z</dcterms:modified>
</cp:coreProperties>
</file>