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45BC" w14:textId="53BEA58D" w:rsidR="001B06FB" w:rsidRPr="00375DE3" w:rsidRDefault="001B06FB" w:rsidP="001B06FB">
      <w:pPr>
        <w:spacing w:before="567"/>
        <w:jc w:val="center"/>
        <w:rPr>
          <w:rFonts w:ascii="Times New Roman" w:eastAsiaTheme="minorEastAsia" w:hAnsi="Times New Roman" w:cs="Times New Roman"/>
          <w:b/>
          <w:bCs/>
          <w:sz w:val="28"/>
          <w:lang w:val="en-GB"/>
        </w:rPr>
      </w:pPr>
      <w:r w:rsidRPr="00054E55">
        <w:rPr>
          <w:rFonts w:ascii="Times New Roman" w:eastAsia="Times New Roman" w:hAnsi="Times New Roman" w:cs="Times New Roman"/>
          <w:b/>
          <w:sz w:val="28"/>
          <w:lang w:val="en-GB"/>
        </w:rPr>
        <w:t>Rapid and non</w:t>
      </w:r>
      <w:r w:rsidRPr="00AA7083">
        <w:rPr>
          <w:rFonts w:ascii="Times New Roman" w:hAnsi="Times New Roman" w:cs="Times New Roman"/>
          <w:b/>
          <w:sz w:val="28"/>
          <w:lang w:val="en-GB"/>
        </w:rPr>
        <w:t>-</w:t>
      </w:r>
      <w:r w:rsidRPr="00054E55">
        <w:rPr>
          <w:rFonts w:ascii="Times New Roman" w:eastAsia="Times New Roman" w:hAnsi="Times New Roman" w:cs="Times New Roman"/>
          <w:b/>
          <w:sz w:val="28"/>
          <w:lang w:val="en-GB"/>
        </w:rPr>
        <w:t>destructive determina</w:t>
      </w:r>
      <w:r w:rsidRPr="00AA7083">
        <w:rPr>
          <w:rFonts w:ascii="Times New Roman" w:eastAsia="Times New Roman" w:hAnsi="Times New Roman" w:cs="Times New Roman"/>
          <w:b/>
          <w:sz w:val="28"/>
          <w:lang w:val="en-GB"/>
        </w:rPr>
        <w:t>t</w:t>
      </w:r>
      <w:r w:rsidRPr="00054E55">
        <w:rPr>
          <w:rFonts w:ascii="Times New Roman" w:eastAsia="Times New Roman" w:hAnsi="Times New Roman" w:cs="Times New Roman"/>
          <w:b/>
          <w:sz w:val="28"/>
          <w:lang w:val="en-GB"/>
        </w:rPr>
        <w:t xml:space="preserve">ion of Ca and P in </w:t>
      </w:r>
      <w:r w:rsidR="0002539D">
        <w:rPr>
          <w:rFonts w:ascii="Times New Roman" w:eastAsia="Times New Roman" w:hAnsi="Times New Roman" w:cs="Times New Roman"/>
          <w:b/>
          <w:sz w:val="28"/>
          <w:lang w:val="en-GB"/>
        </w:rPr>
        <w:t>m</w:t>
      </w:r>
      <w:r w:rsidRPr="00054E55">
        <w:rPr>
          <w:rFonts w:ascii="Times New Roman" w:eastAsia="Times New Roman" w:hAnsi="Times New Roman" w:cs="Times New Roman"/>
          <w:b/>
          <w:sz w:val="28"/>
          <w:lang w:val="en-GB"/>
        </w:rPr>
        <w:t>ilk using WDXRF</w:t>
      </w:r>
    </w:p>
    <w:p w14:paraId="56A53375" w14:textId="7B984E9B" w:rsidR="001B06FB" w:rsidRPr="00054E55" w:rsidRDefault="001B06FB" w:rsidP="001B06FB">
      <w:pPr>
        <w:jc w:val="center"/>
        <w:rPr>
          <w:rFonts w:ascii="Times New Roman" w:hAnsi="Times New Roman" w:cs="Times New Roman"/>
          <w:vertAlign w:val="superscript"/>
          <w:lang w:val="it-IT"/>
        </w:rPr>
      </w:pPr>
      <w:r w:rsidRPr="00054E55">
        <w:rPr>
          <w:rFonts w:ascii="Times New Roman" w:hAnsi="Times New Roman" w:cs="Times New Roman"/>
          <w:b/>
          <w:lang w:val="it-IT"/>
        </w:rPr>
        <w:t>Paolo Berzaghi</w:t>
      </w:r>
      <w:r w:rsidRPr="00054E55">
        <w:rPr>
          <w:rFonts w:ascii="Times New Roman" w:hAnsi="Times New Roman" w:cs="Times New Roman"/>
          <w:vertAlign w:val="superscript"/>
          <w:lang w:val="it-IT"/>
        </w:rPr>
        <w:t>1*</w:t>
      </w:r>
      <w:r w:rsidRPr="00054E55">
        <w:rPr>
          <w:rFonts w:ascii="Times New Roman" w:hAnsi="Times New Roman" w:cs="Times New Roman"/>
          <w:b/>
          <w:lang w:val="it-IT"/>
        </w:rPr>
        <w:t xml:space="preserve">, </w:t>
      </w:r>
      <w:r w:rsidR="00EF70DC">
        <w:rPr>
          <w:rFonts w:ascii="Times New Roman" w:hAnsi="Times New Roman" w:cs="Times New Roman"/>
          <w:b/>
          <w:lang w:val="it-IT"/>
        </w:rPr>
        <w:t>Alessandro Lotto</w:t>
      </w:r>
      <w:r w:rsidR="00665E2F">
        <w:rPr>
          <w:rFonts w:ascii="Times New Roman" w:hAnsi="Times New Roman" w:cs="Times New Roman"/>
          <w:vertAlign w:val="superscript"/>
          <w:lang w:val="it-IT"/>
        </w:rPr>
        <w:t>2</w:t>
      </w:r>
      <w:r w:rsidRPr="00054E55">
        <w:rPr>
          <w:rFonts w:ascii="Times New Roman" w:hAnsi="Times New Roman" w:cs="Times New Roman"/>
          <w:b/>
          <w:lang w:val="it-IT"/>
        </w:rPr>
        <w:t>,</w:t>
      </w:r>
      <w:r w:rsidR="00EF70DC">
        <w:rPr>
          <w:rFonts w:ascii="Times New Roman" w:hAnsi="Times New Roman" w:cs="Times New Roman"/>
          <w:b/>
          <w:lang w:val="it-IT"/>
        </w:rPr>
        <w:t xml:space="preserve"> Simone Blotta</w:t>
      </w:r>
      <w:r w:rsidR="00EF70DC" w:rsidRPr="00054E55">
        <w:rPr>
          <w:rFonts w:ascii="Times New Roman" w:hAnsi="Times New Roman" w:cs="Times New Roman"/>
          <w:vertAlign w:val="superscript"/>
          <w:lang w:val="it-IT"/>
        </w:rPr>
        <w:t>2</w:t>
      </w:r>
      <w:r w:rsidR="00EF70DC">
        <w:rPr>
          <w:rFonts w:ascii="Times New Roman" w:hAnsi="Times New Roman" w:cs="Times New Roman"/>
          <w:b/>
          <w:lang w:val="it-IT"/>
        </w:rPr>
        <w:t xml:space="preserve">, </w:t>
      </w:r>
      <w:r w:rsidR="002124FF" w:rsidRPr="002124FF">
        <w:rPr>
          <w:rFonts w:ascii="Times New Roman" w:hAnsi="Times New Roman" w:cs="Times New Roman"/>
          <w:b/>
          <w:lang w:val="it-IT"/>
        </w:rPr>
        <w:t>Giorgia Stocco</w:t>
      </w:r>
      <w:r w:rsidR="002124FF" w:rsidRPr="002124FF">
        <w:rPr>
          <w:rFonts w:ascii="Times New Roman" w:hAnsi="Times New Roman" w:cs="Times New Roman"/>
          <w:bCs/>
          <w:vertAlign w:val="superscript"/>
          <w:lang w:val="it-IT"/>
        </w:rPr>
        <w:t>3</w:t>
      </w:r>
      <w:r w:rsidR="002124FF">
        <w:rPr>
          <w:rFonts w:ascii="Times New Roman" w:hAnsi="Times New Roman" w:cs="Times New Roman"/>
          <w:b/>
          <w:lang w:val="it-IT"/>
        </w:rPr>
        <w:t xml:space="preserve">, </w:t>
      </w:r>
      <w:r w:rsidRPr="00054E55">
        <w:rPr>
          <w:rFonts w:ascii="Times New Roman" w:hAnsi="Times New Roman" w:cs="Times New Roman"/>
          <w:b/>
          <w:lang w:val="it-IT"/>
        </w:rPr>
        <w:t>Xueping Yang</w:t>
      </w:r>
      <w:r w:rsidRPr="00054E55">
        <w:rPr>
          <w:rFonts w:ascii="Times New Roman" w:hAnsi="Times New Roman" w:cs="Times New Roman"/>
          <w:vertAlign w:val="superscript"/>
          <w:lang w:val="it-IT"/>
        </w:rPr>
        <w:t>1</w:t>
      </w:r>
    </w:p>
    <w:p w14:paraId="1AB3FA94" w14:textId="77777777" w:rsidR="001B06FB" w:rsidRPr="00054E55" w:rsidRDefault="001B06FB" w:rsidP="001B06FB">
      <w:pPr>
        <w:jc w:val="center"/>
        <w:rPr>
          <w:rFonts w:ascii="Times New Roman" w:hAnsi="Times New Roman" w:cs="Times New Roman"/>
          <w:vertAlign w:val="superscript"/>
          <w:lang w:val="it-IT"/>
        </w:rPr>
      </w:pPr>
    </w:p>
    <w:p w14:paraId="05A0C8E6" w14:textId="1241E109" w:rsidR="001B06FB" w:rsidRPr="00054E55" w:rsidRDefault="001B06FB" w:rsidP="001B06FB">
      <w:pPr>
        <w:jc w:val="center"/>
        <w:rPr>
          <w:rFonts w:ascii="Times New Roman" w:hAnsi="Times New Roman" w:cs="Times New Roman"/>
          <w:sz w:val="22"/>
          <w:vertAlign w:val="superscript"/>
          <w:lang w:val="en-GB"/>
        </w:rPr>
      </w:pPr>
      <w:r w:rsidRPr="00054E55">
        <w:rPr>
          <w:rFonts w:ascii="Times New Roman" w:hAnsi="Times New Roman" w:cs="Times New Roman"/>
          <w:sz w:val="22"/>
          <w:vertAlign w:val="superscript"/>
          <w:lang w:val="en-GB"/>
        </w:rPr>
        <w:t>1</w:t>
      </w:r>
      <w:r w:rsidRPr="00054E55">
        <w:rPr>
          <w:rFonts w:ascii="Times New Roman" w:hAnsi="Times New Roman" w:cs="Times New Roman"/>
          <w:sz w:val="22"/>
          <w:lang w:val="en-GB"/>
        </w:rPr>
        <w:t xml:space="preserve"> University of Padua, Italy</w:t>
      </w:r>
    </w:p>
    <w:p w14:paraId="0447DDD3" w14:textId="1D0C97A2" w:rsidR="001B06FB" w:rsidRDefault="001B06FB" w:rsidP="001B06FB">
      <w:pPr>
        <w:jc w:val="center"/>
        <w:rPr>
          <w:rFonts w:ascii="Times New Roman" w:hAnsi="Times New Roman" w:cs="Times New Roman"/>
          <w:sz w:val="22"/>
          <w:lang w:val="it-IT"/>
        </w:rPr>
      </w:pPr>
      <w:r w:rsidRPr="00054E55">
        <w:rPr>
          <w:rFonts w:ascii="Times New Roman" w:hAnsi="Times New Roman" w:cs="Times New Roman"/>
          <w:sz w:val="22"/>
          <w:vertAlign w:val="superscript"/>
          <w:lang w:val="it-IT"/>
        </w:rPr>
        <w:t xml:space="preserve">2 </w:t>
      </w:r>
      <w:r w:rsidR="00EF70DC">
        <w:rPr>
          <w:rFonts w:ascii="Times New Roman" w:hAnsi="Times New Roman" w:cs="Times New Roman"/>
          <w:sz w:val="22"/>
          <w:lang w:val="it-IT"/>
        </w:rPr>
        <w:t>Nutristar S.p.A., Italy</w:t>
      </w:r>
    </w:p>
    <w:p w14:paraId="0721D721" w14:textId="42341269" w:rsidR="002124FF" w:rsidRPr="00054E55" w:rsidRDefault="002124FF" w:rsidP="002124FF">
      <w:pPr>
        <w:jc w:val="center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vertAlign w:val="superscript"/>
          <w:lang w:val="it-IT"/>
        </w:rPr>
        <w:t>3</w:t>
      </w:r>
      <w:r w:rsidRPr="00054E55">
        <w:rPr>
          <w:rFonts w:ascii="Times New Roman" w:hAnsi="Times New Roman" w:cs="Times New Roman"/>
          <w:sz w:val="22"/>
          <w:vertAlign w:val="superscript"/>
          <w:lang w:val="it-IT"/>
        </w:rPr>
        <w:t xml:space="preserve"> </w:t>
      </w:r>
      <w:r w:rsidRPr="002124FF">
        <w:rPr>
          <w:rFonts w:ascii="Times New Roman" w:hAnsi="Times New Roman" w:cs="Times New Roman"/>
          <w:sz w:val="22"/>
          <w:lang w:val="it-IT"/>
        </w:rPr>
        <w:t>University of Parma</w:t>
      </w:r>
      <w:r>
        <w:rPr>
          <w:rFonts w:ascii="Times New Roman" w:hAnsi="Times New Roman" w:cs="Times New Roman"/>
          <w:sz w:val="22"/>
          <w:lang w:val="it-IT"/>
        </w:rPr>
        <w:t>, Italy</w:t>
      </w:r>
    </w:p>
    <w:p w14:paraId="541598F4" w14:textId="0462CA20" w:rsidR="001B06FB" w:rsidRPr="00054E55" w:rsidRDefault="001B06FB" w:rsidP="001B06FB">
      <w:pPr>
        <w:jc w:val="center"/>
        <w:rPr>
          <w:rFonts w:ascii="Times New Roman" w:hAnsi="Times New Roman" w:cs="Times New Roman"/>
          <w:sz w:val="22"/>
          <w:lang w:val="en-GB"/>
        </w:rPr>
      </w:pPr>
      <w:r w:rsidRPr="00054E55">
        <w:rPr>
          <w:rFonts w:ascii="Times New Roman" w:hAnsi="Times New Roman" w:cs="Times New Roman"/>
          <w:sz w:val="22"/>
          <w:lang w:val="en-GB"/>
        </w:rPr>
        <w:t>*Corresponding author</w:t>
      </w:r>
      <w:r w:rsidR="00EF70DC" w:rsidRPr="00054E55">
        <w:rPr>
          <w:rFonts w:ascii="Times New Roman" w:hAnsi="Times New Roman" w:cs="Times New Roman"/>
          <w:sz w:val="22"/>
          <w:lang w:val="en-GB"/>
        </w:rPr>
        <w:t>, paolo.berzaghi@unipd.it</w:t>
      </w:r>
    </w:p>
    <w:p w14:paraId="76E0424E" w14:textId="2F4BC26B" w:rsidR="008E0DE1" w:rsidRPr="00C53260" w:rsidRDefault="008E0DE1" w:rsidP="001B06FB">
      <w:pPr>
        <w:pStyle w:val="AbstractBodyText"/>
        <w:rPr>
          <w:bCs/>
          <w:lang w:val="en-GB"/>
        </w:rPr>
      </w:pPr>
      <w:r w:rsidRPr="00CA258B">
        <w:rPr>
          <w:b/>
          <w:lang w:val="en-GB"/>
        </w:rPr>
        <w:t xml:space="preserve">Keywords: </w:t>
      </w:r>
      <w:r w:rsidR="001B06FB" w:rsidRPr="00C53260">
        <w:rPr>
          <w:bCs/>
          <w:lang w:val="en-GB"/>
        </w:rPr>
        <w:t xml:space="preserve">Mineral determination, </w:t>
      </w:r>
      <w:r w:rsidR="0002539D">
        <w:rPr>
          <w:bCs/>
          <w:lang w:val="en-GB"/>
        </w:rPr>
        <w:t xml:space="preserve">Wavelength Dispersive </w:t>
      </w:r>
      <w:r w:rsidR="001B06FB" w:rsidRPr="00C53260">
        <w:rPr>
          <w:bCs/>
          <w:lang w:val="en-GB"/>
        </w:rPr>
        <w:t>X-ray fluorescence (</w:t>
      </w:r>
      <w:r w:rsidR="0002539D">
        <w:rPr>
          <w:bCs/>
          <w:lang w:val="en-GB"/>
        </w:rPr>
        <w:t>WD</w:t>
      </w:r>
      <w:r w:rsidR="001B06FB" w:rsidRPr="00C53260">
        <w:rPr>
          <w:bCs/>
          <w:lang w:val="en-GB"/>
        </w:rPr>
        <w:t xml:space="preserve">XRF), Calcium, Phosphorus, milk coagulation </w:t>
      </w:r>
    </w:p>
    <w:p w14:paraId="78ACB9CF" w14:textId="156143FF" w:rsidR="00354A63" w:rsidRPr="00CB6516" w:rsidRDefault="003B5428" w:rsidP="00354A63">
      <w:pPr>
        <w:pStyle w:val="AbstractBodyText"/>
        <w:ind w:firstLineChars="200" w:firstLine="480"/>
        <w:rPr>
          <w:lang w:val="en-GB"/>
        </w:rPr>
      </w:pPr>
      <w:r w:rsidRPr="001B06FB">
        <w:rPr>
          <w:lang w:val="en-GB"/>
        </w:rPr>
        <w:t>Cal</w:t>
      </w:r>
      <w:r w:rsidR="00E40073">
        <w:rPr>
          <w:lang w:val="en-GB"/>
        </w:rPr>
        <w:t>cium (Ca) and phosphorus (P) are</w:t>
      </w:r>
      <w:r w:rsidRPr="001B06FB">
        <w:rPr>
          <w:lang w:val="en-GB"/>
        </w:rPr>
        <w:t xml:space="preserve"> two important mineral</w:t>
      </w:r>
      <w:r w:rsidR="00E40073">
        <w:rPr>
          <w:lang w:val="en-GB"/>
        </w:rPr>
        <w:t>s</w:t>
      </w:r>
      <w:r w:rsidRPr="001B06FB">
        <w:rPr>
          <w:lang w:val="en-GB"/>
        </w:rPr>
        <w:t xml:space="preserve"> </w:t>
      </w:r>
      <w:r w:rsidR="00E40073">
        <w:rPr>
          <w:lang w:val="en-GB"/>
        </w:rPr>
        <w:t>in milk</w:t>
      </w:r>
      <w:r w:rsidRPr="001B06FB">
        <w:rPr>
          <w:lang w:val="en-GB"/>
        </w:rPr>
        <w:t>, p</w:t>
      </w:r>
      <w:r w:rsidR="00E40073">
        <w:rPr>
          <w:lang w:val="en-GB"/>
        </w:rPr>
        <w:t>laying</w:t>
      </w:r>
      <w:r w:rsidRPr="001B06FB">
        <w:rPr>
          <w:lang w:val="en-GB"/>
        </w:rPr>
        <w:t xml:space="preserve"> an essential role </w:t>
      </w:r>
      <w:r w:rsidR="00E40073">
        <w:rPr>
          <w:lang w:val="en-GB"/>
        </w:rPr>
        <w:t>i</w:t>
      </w:r>
      <w:r w:rsidRPr="001B06FB">
        <w:rPr>
          <w:lang w:val="en-GB"/>
        </w:rPr>
        <w:t>n human nutrition (Manuelian et al., 2018)</w:t>
      </w:r>
      <w:r w:rsidR="00E40073">
        <w:rPr>
          <w:lang w:val="en-GB"/>
        </w:rPr>
        <w:t>.</w:t>
      </w:r>
      <w:r w:rsidRPr="001B06FB">
        <w:rPr>
          <w:lang w:val="en-GB"/>
        </w:rPr>
        <w:t xml:space="preserve"> </w:t>
      </w:r>
      <w:r w:rsidR="00E40073">
        <w:rPr>
          <w:lang w:val="en-GB"/>
        </w:rPr>
        <w:t>C</w:t>
      </w:r>
      <w:r w:rsidRPr="001B06FB">
        <w:rPr>
          <w:lang w:val="en-GB"/>
        </w:rPr>
        <w:t xml:space="preserve">oncentration of Ca and P in milk </w:t>
      </w:r>
      <w:r w:rsidR="00E40073">
        <w:rPr>
          <w:lang w:val="en-GB"/>
        </w:rPr>
        <w:t xml:space="preserve">is then extremely important in the </w:t>
      </w:r>
      <w:r w:rsidRPr="001B06FB">
        <w:rPr>
          <w:lang w:val="en-GB"/>
        </w:rPr>
        <w:t xml:space="preserve">coagulation </w:t>
      </w:r>
      <w:r w:rsidR="00E40073">
        <w:rPr>
          <w:lang w:val="en-GB"/>
        </w:rPr>
        <w:t>process</w:t>
      </w:r>
      <w:r w:rsidR="0002539D">
        <w:rPr>
          <w:lang w:val="en-GB"/>
        </w:rPr>
        <w:t>, as they bond</w:t>
      </w:r>
      <w:r w:rsidR="0002539D" w:rsidRPr="001B06FB">
        <w:rPr>
          <w:lang w:val="en-GB"/>
        </w:rPr>
        <w:t xml:space="preserve"> together to the casein micelles, influencing </w:t>
      </w:r>
      <w:r w:rsidR="0002539D">
        <w:rPr>
          <w:lang w:val="en-GB"/>
        </w:rPr>
        <w:t xml:space="preserve">curd </w:t>
      </w:r>
      <w:r w:rsidR="0002539D" w:rsidRPr="001B06FB">
        <w:rPr>
          <w:lang w:val="en-GB"/>
        </w:rPr>
        <w:t>structure and stability</w:t>
      </w:r>
      <w:r w:rsidR="00E40073">
        <w:rPr>
          <w:lang w:val="en-GB"/>
        </w:rPr>
        <w:t xml:space="preserve"> and eventually to the quality of cheeses </w:t>
      </w:r>
      <w:r w:rsidRPr="001B06FB">
        <w:rPr>
          <w:lang w:val="en-GB"/>
        </w:rPr>
        <w:t>(Malacarne et al., 2014).</w:t>
      </w:r>
      <w:r w:rsidR="00FA2478">
        <w:rPr>
          <w:lang w:val="en-GB"/>
        </w:rPr>
        <w:t xml:space="preserve"> Milk is routinely analysed for main components (Fat, Protein and lactose) by mid infrared spectroscopy and attempts to use the same technique for minerals have shown limited performances </w:t>
      </w:r>
      <w:r w:rsidR="00FA2478" w:rsidRPr="001B06FB">
        <w:rPr>
          <w:lang w:val="en-GB"/>
        </w:rPr>
        <w:t>(Toffanin et al., 2015)</w:t>
      </w:r>
      <w:r w:rsidR="00FA2478">
        <w:rPr>
          <w:lang w:val="en-GB"/>
        </w:rPr>
        <w:t>.</w:t>
      </w:r>
      <w:r w:rsidRPr="001B06FB">
        <w:rPr>
          <w:lang w:val="en-GB"/>
        </w:rPr>
        <w:t xml:space="preserve"> X-ray</w:t>
      </w:r>
      <w:r w:rsidR="00B718F7">
        <w:rPr>
          <w:lang w:val="en-GB"/>
        </w:rPr>
        <w:t xml:space="preserve"> fluorescence (XRF) </w:t>
      </w:r>
      <w:r w:rsidR="00E40073">
        <w:rPr>
          <w:lang w:val="en-GB"/>
        </w:rPr>
        <w:t xml:space="preserve">is </w:t>
      </w:r>
      <w:r w:rsidR="00B718F7">
        <w:rPr>
          <w:lang w:val="en-GB"/>
        </w:rPr>
        <w:t xml:space="preserve">used </w:t>
      </w:r>
      <w:r w:rsidR="00E40073">
        <w:rPr>
          <w:lang w:val="en-GB"/>
        </w:rPr>
        <w:t>a</w:t>
      </w:r>
      <w:r w:rsidR="00B718F7">
        <w:rPr>
          <w:lang w:val="en-GB"/>
        </w:rPr>
        <w:t>s</w:t>
      </w:r>
      <w:r w:rsidR="00E40073">
        <w:rPr>
          <w:lang w:val="en-GB"/>
        </w:rPr>
        <w:t xml:space="preserve"> </w:t>
      </w:r>
      <w:r w:rsidR="00B718F7">
        <w:rPr>
          <w:lang w:val="en-GB"/>
        </w:rPr>
        <w:t xml:space="preserve">rapid and non </w:t>
      </w:r>
      <w:r w:rsidR="0002539D">
        <w:rPr>
          <w:lang w:val="en-GB"/>
        </w:rPr>
        <w:t>destructive</w:t>
      </w:r>
      <w:r w:rsidR="00B718F7">
        <w:rPr>
          <w:lang w:val="en-GB"/>
        </w:rPr>
        <w:t xml:space="preserve"> </w:t>
      </w:r>
      <w:r w:rsidR="00E40073">
        <w:rPr>
          <w:lang w:val="en-GB"/>
        </w:rPr>
        <w:t>spectroscopic technique specific in the determination of elements</w:t>
      </w:r>
      <w:r w:rsidR="00B718F7">
        <w:rPr>
          <w:lang w:val="en-GB"/>
        </w:rPr>
        <w:t xml:space="preserve">. </w:t>
      </w:r>
      <w:r w:rsidR="00FA2478">
        <w:rPr>
          <w:lang w:val="en-GB"/>
        </w:rPr>
        <w:t xml:space="preserve">Thirty samples were collected from </w:t>
      </w:r>
      <w:r w:rsidR="0002539D">
        <w:rPr>
          <w:lang w:val="en-GB"/>
        </w:rPr>
        <w:t xml:space="preserve">single cows at </w:t>
      </w:r>
      <w:r w:rsidR="00FA2478">
        <w:rPr>
          <w:lang w:val="en-GB"/>
        </w:rPr>
        <w:t xml:space="preserve">different </w:t>
      </w:r>
      <w:r w:rsidR="0002539D">
        <w:rPr>
          <w:lang w:val="en-GB"/>
        </w:rPr>
        <w:t xml:space="preserve">very diverse </w:t>
      </w:r>
      <w:r w:rsidR="00FA2478">
        <w:rPr>
          <w:lang w:val="en-GB"/>
        </w:rPr>
        <w:t>dairy farms in Northen Italy</w:t>
      </w:r>
      <w:r w:rsidR="0002539D">
        <w:rPr>
          <w:lang w:val="en-GB"/>
        </w:rPr>
        <w:t>. T</w:t>
      </w:r>
      <w:r w:rsidR="00272A92">
        <w:rPr>
          <w:lang w:val="en-GB"/>
        </w:rPr>
        <w:t>riplicates</w:t>
      </w:r>
      <w:r w:rsidR="00FA2478">
        <w:rPr>
          <w:lang w:val="en-GB"/>
        </w:rPr>
        <w:t xml:space="preserve"> </w:t>
      </w:r>
      <w:r w:rsidR="0002539D">
        <w:rPr>
          <w:lang w:val="en-GB"/>
        </w:rPr>
        <w:t xml:space="preserve">were placed </w:t>
      </w:r>
      <w:r w:rsidR="00272A92">
        <w:rPr>
          <w:lang w:val="en-GB"/>
        </w:rPr>
        <w:t xml:space="preserve">in 50ml vials </w:t>
      </w:r>
      <w:r w:rsidR="00FA2478">
        <w:rPr>
          <w:lang w:val="en-GB"/>
        </w:rPr>
        <w:t xml:space="preserve">and stabilized with the addition of </w:t>
      </w:r>
      <w:r w:rsidR="00802032">
        <w:rPr>
          <w:lang w:val="en-GB"/>
        </w:rPr>
        <w:t>Bronopol</w:t>
      </w:r>
      <w:r w:rsidR="00272A92">
        <w:rPr>
          <w:lang w:val="en-GB"/>
        </w:rPr>
        <w:t>. One sample was sent to commercial lab for mineral determination by ICP-OES, one sample was frozen and stored at -20 °C for backup and the third subsample was scanned on a wavelength dispersive XRF</w:t>
      </w:r>
      <w:r w:rsidR="0094510B">
        <w:rPr>
          <w:lang w:val="en-GB"/>
        </w:rPr>
        <w:t xml:space="preserve"> (WDXRF)</w:t>
      </w:r>
      <w:r w:rsidR="00272A92">
        <w:rPr>
          <w:lang w:val="en-GB"/>
        </w:rPr>
        <w:t xml:space="preserve"> instrument (</w:t>
      </w:r>
      <w:r w:rsidR="00272A92" w:rsidRPr="00272A92">
        <w:rPr>
          <w:lang w:val="en-GB"/>
        </w:rPr>
        <w:t>S6 Jaguar</w:t>
      </w:r>
      <w:r w:rsidR="0094510B">
        <w:rPr>
          <w:lang w:val="en-GB"/>
        </w:rPr>
        <w:t xml:space="preserve">, </w:t>
      </w:r>
      <w:r w:rsidR="00272A92" w:rsidRPr="00272A92">
        <w:rPr>
          <w:lang w:val="en-GB"/>
        </w:rPr>
        <w:t>Bruker</w:t>
      </w:r>
      <w:r w:rsidR="0094510B">
        <w:rPr>
          <w:lang w:val="en-GB"/>
        </w:rPr>
        <w:t xml:space="preserve"> AXS, Milan</w:t>
      </w:r>
      <w:r w:rsidR="00272A92">
        <w:rPr>
          <w:lang w:val="en-GB"/>
        </w:rPr>
        <w:t xml:space="preserve">). Samples were poured </w:t>
      </w:r>
      <w:r w:rsidR="00272A92" w:rsidRPr="00272A92">
        <w:rPr>
          <w:lang w:val="en-GB"/>
        </w:rPr>
        <w:t>in cups over thin prolene X-ray film</w:t>
      </w:r>
      <w:r w:rsidR="0002539D">
        <w:rPr>
          <w:lang w:val="en-GB"/>
        </w:rPr>
        <w:t xml:space="preserve">, </w:t>
      </w:r>
      <w:r w:rsidR="00272A92">
        <w:rPr>
          <w:lang w:val="en-GB"/>
        </w:rPr>
        <w:t>placed in the scanning cham</w:t>
      </w:r>
      <w:r w:rsidR="0002539D">
        <w:rPr>
          <w:lang w:val="en-GB"/>
        </w:rPr>
        <w:t>ber</w:t>
      </w:r>
      <w:r w:rsidR="00272A92">
        <w:rPr>
          <w:lang w:val="en-GB"/>
        </w:rPr>
        <w:t xml:space="preserve"> saturated with Helium and scanned </w:t>
      </w:r>
      <w:r w:rsidR="0094510B">
        <w:rPr>
          <w:lang w:val="en-GB"/>
        </w:rPr>
        <w:t xml:space="preserve">at 30KV for P determination and at 50KV for Ca determination, with total scanning time of </w:t>
      </w:r>
      <w:r w:rsidR="00613931">
        <w:rPr>
          <w:lang w:val="en-GB"/>
        </w:rPr>
        <w:t>3</w:t>
      </w:r>
      <w:r w:rsidR="0094510B">
        <w:rPr>
          <w:lang w:val="en-GB"/>
        </w:rPr>
        <w:t xml:space="preserve"> minutes. Calibrations were developed using </w:t>
      </w:r>
      <w:r w:rsidR="00122CB9">
        <w:rPr>
          <w:rFonts w:ascii="Calibri" w:eastAsia="Times New Roman" w:hAnsi="Calibri" w:cs="Calibri"/>
          <w:color w:val="000000"/>
        </w:rPr>
        <w:t xml:space="preserve"> </w:t>
      </w:r>
      <w:r w:rsidR="00122CB9" w:rsidRPr="00613931">
        <w:rPr>
          <w:lang w:val="en-GB"/>
        </w:rPr>
        <w:t>S</w:t>
      </w:r>
      <w:r w:rsidR="00613931">
        <w:rPr>
          <w:lang w:val="en-GB"/>
        </w:rPr>
        <w:t>pectra</w:t>
      </w:r>
      <w:r w:rsidR="00122CB9" w:rsidRPr="00613931">
        <w:rPr>
          <w:lang w:val="en-GB"/>
        </w:rPr>
        <w:t>.E</w:t>
      </w:r>
      <w:r w:rsidR="00613931">
        <w:rPr>
          <w:lang w:val="en-GB"/>
        </w:rPr>
        <w:t>lements</w:t>
      </w:r>
      <w:r w:rsidR="00122CB9" w:rsidRPr="00613931">
        <w:rPr>
          <w:lang w:val="en-GB"/>
        </w:rPr>
        <w:t xml:space="preserve"> Advance v.3</w:t>
      </w:r>
      <w:r w:rsidR="00122CB9">
        <w:rPr>
          <w:rFonts w:ascii="Calibri" w:eastAsia="Times New Roman" w:hAnsi="Calibri" w:cs="Calibri"/>
          <w:color w:val="000000"/>
        </w:rPr>
        <w:t xml:space="preserve"> </w:t>
      </w:r>
      <w:r w:rsidR="0094510B">
        <w:rPr>
          <w:lang w:val="en-GB"/>
        </w:rPr>
        <w:t xml:space="preserve">software of Bruker. </w:t>
      </w:r>
      <w:r w:rsidR="00481112">
        <w:rPr>
          <w:lang w:val="en-GB"/>
        </w:rPr>
        <w:t xml:space="preserve">The results of this study shows that prediction models using XRF spectroscopy was </w:t>
      </w:r>
      <w:r w:rsidR="00D012AE">
        <w:rPr>
          <w:lang w:val="en-GB"/>
        </w:rPr>
        <w:t xml:space="preserve">excellent </w:t>
      </w:r>
      <w:r w:rsidR="00481112">
        <w:rPr>
          <w:lang w:val="en-GB"/>
        </w:rPr>
        <w:t xml:space="preserve">for Ca and P, with coefficients of </w:t>
      </w:r>
      <w:r w:rsidR="0002539D">
        <w:rPr>
          <w:lang w:val="en-GB"/>
        </w:rPr>
        <w:t>determination</w:t>
      </w:r>
      <w:r w:rsidR="00481112">
        <w:rPr>
          <w:lang w:val="en-GB"/>
        </w:rPr>
        <w:t xml:space="preserve"> greater than 0.90</w:t>
      </w:r>
      <w:r w:rsidR="0002539D">
        <w:rPr>
          <w:lang w:val="en-GB"/>
        </w:rPr>
        <w:t>,</w:t>
      </w:r>
      <w:r w:rsidR="00D3056B">
        <w:rPr>
          <w:lang w:val="en-GB"/>
        </w:rPr>
        <w:t xml:space="preserve"> </w:t>
      </w:r>
      <w:r w:rsidR="0002539D">
        <w:rPr>
          <w:lang w:val="en-GB"/>
        </w:rPr>
        <w:t>R</w:t>
      </w:r>
      <w:r w:rsidR="00D3056B">
        <w:rPr>
          <w:lang w:val="en-GB"/>
        </w:rPr>
        <w:t>PD greater than 3.5</w:t>
      </w:r>
      <w:r w:rsidR="0002539D">
        <w:rPr>
          <w:lang w:val="en-GB"/>
        </w:rPr>
        <w:t xml:space="preserve"> and SECV of 32 and 52 mg/kg for Ca and P respectively. WDXRF is a valuable method </w:t>
      </w:r>
      <w:r w:rsidR="00C17A28">
        <w:rPr>
          <w:lang w:val="en-GB"/>
        </w:rPr>
        <w:t xml:space="preserve">at improving the </w:t>
      </w:r>
      <w:r w:rsidR="0002539D">
        <w:rPr>
          <w:lang w:val="en-GB"/>
        </w:rPr>
        <w:t xml:space="preserve">evaluation of </w:t>
      </w:r>
      <w:r w:rsidR="00C17A28">
        <w:rPr>
          <w:lang w:val="en-GB"/>
        </w:rPr>
        <w:t xml:space="preserve">milk </w:t>
      </w:r>
      <w:r w:rsidR="0002539D">
        <w:rPr>
          <w:lang w:val="en-GB"/>
        </w:rPr>
        <w:t xml:space="preserve">quality for mineral composition which can be used to improve </w:t>
      </w:r>
      <w:r w:rsidR="00C17A28">
        <w:rPr>
          <w:lang w:val="en-GB"/>
        </w:rPr>
        <w:t>coagulation</w:t>
      </w:r>
      <w:r w:rsidR="00944069">
        <w:rPr>
          <w:lang w:val="en-GB"/>
        </w:rPr>
        <w:t xml:space="preserve"> properties</w:t>
      </w:r>
      <w:r w:rsidR="0002539D">
        <w:rPr>
          <w:lang w:val="en-GB"/>
        </w:rPr>
        <w:t xml:space="preserve"> of milk</w:t>
      </w:r>
      <w:r w:rsidR="00377832">
        <w:rPr>
          <w:lang w:val="en-GB"/>
        </w:rPr>
        <w:t>.</w:t>
      </w:r>
    </w:p>
    <w:tbl>
      <w:tblPr>
        <w:tblStyle w:val="1"/>
        <w:tblpPr w:leftFromText="180" w:rightFromText="180" w:vertAnchor="text" w:horzAnchor="margin" w:tblpXSpec="center" w:tblpY="200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863"/>
        <w:gridCol w:w="866"/>
        <w:gridCol w:w="869"/>
        <w:gridCol w:w="1028"/>
        <w:gridCol w:w="877"/>
        <w:gridCol w:w="873"/>
        <w:gridCol w:w="865"/>
        <w:gridCol w:w="872"/>
        <w:gridCol w:w="868"/>
        <w:gridCol w:w="877"/>
        <w:gridCol w:w="20"/>
      </w:tblGrid>
      <w:tr w:rsidR="00377832" w:rsidRPr="00C53260" w14:paraId="53ABED07" w14:textId="77777777" w:rsidTr="00354A63">
        <w:trPr>
          <w:trHeight w:val="548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F4CD2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31637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Chemical Composition</w:t>
            </w:r>
          </w:p>
        </w:tc>
        <w:tc>
          <w:tcPr>
            <w:tcW w:w="4372" w:type="dxa"/>
            <w:gridSpan w:val="6"/>
            <w:tcBorders>
              <w:top w:val="single" w:sz="4" w:space="0" w:color="auto"/>
            </w:tcBorders>
            <w:vAlign w:val="center"/>
          </w:tcPr>
          <w:p w14:paraId="2328149F" w14:textId="572C2E58" w:rsidR="00377832" w:rsidRPr="00C53260" w:rsidRDefault="00A0797E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WDXRF</w:t>
            </w:r>
            <w:r w:rsidR="00377832" w:rsidRPr="00C53260">
              <w:rPr>
                <w:rFonts w:ascii="Times New Roman" w:hAnsi="Times New Roman" w:cs="Times New Roman"/>
              </w:rPr>
              <w:t xml:space="preserve"> </w:t>
            </w:r>
            <w:r w:rsidR="00377832">
              <w:rPr>
                <w:rFonts w:ascii="Times New Roman" w:hAnsi="Times New Roman" w:cs="Times New Roman"/>
              </w:rPr>
              <w:t>calibration</w:t>
            </w:r>
          </w:p>
        </w:tc>
      </w:tr>
      <w:tr w:rsidR="00354A63" w:rsidRPr="00C53260" w14:paraId="6307C579" w14:textId="77777777" w:rsidTr="00354A63">
        <w:trPr>
          <w:gridAfter w:val="1"/>
          <w:wAfter w:w="20" w:type="dxa"/>
          <w:trHeight w:val="548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05B11A83" w14:textId="1774865A" w:rsidR="00377832" w:rsidRPr="00C53260" w:rsidRDefault="00D151E0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7652B574" w14:textId="7299CF84" w:rsidR="00377832" w:rsidRPr="00C53260" w:rsidRDefault="00D151E0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5E08273D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14:paraId="79D631FD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2948A728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634160E7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5E2F60AC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SQ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14:paraId="5A9C8FC2" w14:textId="54FACAF9" w:rsidR="00377832" w:rsidRPr="00C53260" w:rsidRDefault="00377832" w:rsidP="00A079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4343E72F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lope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1F08CA85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14:paraId="2F4E1EFE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RPD</w:t>
            </w:r>
          </w:p>
        </w:tc>
      </w:tr>
      <w:tr w:rsidR="00354A63" w:rsidRPr="00C53260" w14:paraId="234F89CF" w14:textId="77777777" w:rsidTr="00354A63">
        <w:trPr>
          <w:gridAfter w:val="1"/>
          <w:wAfter w:w="20" w:type="dxa"/>
          <w:trHeight w:val="548"/>
        </w:trPr>
        <w:tc>
          <w:tcPr>
            <w:tcW w:w="1452" w:type="dxa"/>
            <w:vAlign w:val="center"/>
          </w:tcPr>
          <w:p w14:paraId="3C2F8C92" w14:textId="0612FC72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Ca</w:t>
            </w:r>
            <w:r w:rsidR="00D151E0">
              <w:rPr>
                <w:rFonts w:ascii="Times New Roman" w:hAnsi="Times New Roman" w:cs="Times New Roman"/>
              </w:rPr>
              <w:t xml:space="preserve"> (mg kg</w:t>
            </w:r>
            <w:r w:rsidR="00D151E0" w:rsidRPr="00D151E0">
              <w:rPr>
                <w:rFonts w:ascii="Times New Roman" w:hAnsi="Times New Roman" w:cs="Times New Roman"/>
                <w:vertAlign w:val="superscript"/>
              </w:rPr>
              <w:t>-1</w:t>
            </w:r>
            <w:r w:rsidR="00D151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vAlign w:val="center"/>
          </w:tcPr>
          <w:p w14:paraId="0730A02C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vAlign w:val="center"/>
          </w:tcPr>
          <w:p w14:paraId="6F7D775F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9" w:type="dxa"/>
            <w:vAlign w:val="center"/>
          </w:tcPr>
          <w:p w14:paraId="3B596AFA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28" w:type="dxa"/>
            <w:vAlign w:val="center"/>
          </w:tcPr>
          <w:p w14:paraId="7069CF36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1234.67</w:t>
            </w:r>
          </w:p>
        </w:tc>
        <w:tc>
          <w:tcPr>
            <w:tcW w:w="874" w:type="dxa"/>
            <w:vAlign w:val="center"/>
          </w:tcPr>
          <w:p w14:paraId="263F3504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151.92</w:t>
            </w:r>
          </w:p>
        </w:tc>
        <w:tc>
          <w:tcPr>
            <w:tcW w:w="873" w:type="dxa"/>
            <w:vAlign w:val="center"/>
          </w:tcPr>
          <w:p w14:paraId="61E1B198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65" w:type="dxa"/>
            <w:vAlign w:val="center"/>
          </w:tcPr>
          <w:p w14:paraId="2A66F793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31.46</w:t>
            </w:r>
          </w:p>
        </w:tc>
        <w:tc>
          <w:tcPr>
            <w:tcW w:w="872" w:type="dxa"/>
            <w:vAlign w:val="center"/>
          </w:tcPr>
          <w:p w14:paraId="4B3496B2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.93</w:t>
            </w:r>
          </w:p>
        </w:tc>
        <w:tc>
          <w:tcPr>
            <w:tcW w:w="868" w:type="dxa"/>
            <w:vAlign w:val="center"/>
          </w:tcPr>
          <w:p w14:paraId="3B8611C4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-3.93</w:t>
            </w:r>
          </w:p>
        </w:tc>
        <w:tc>
          <w:tcPr>
            <w:tcW w:w="877" w:type="dxa"/>
            <w:vAlign w:val="center"/>
          </w:tcPr>
          <w:p w14:paraId="216463A6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5.12</w:t>
            </w:r>
          </w:p>
        </w:tc>
      </w:tr>
      <w:tr w:rsidR="00354A63" w:rsidRPr="00C53260" w14:paraId="5AE96EAB" w14:textId="77777777" w:rsidTr="00354A63">
        <w:trPr>
          <w:gridAfter w:val="1"/>
          <w:wAfter w:w="20" w:type="dxa"/>
          <w:trHeight w:val="564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D668E03" w14:textId="38057662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P</w:t>
            </w:r>
            <w:r w:rsidR="00D151E0">
              <w:rPr>
                <w:rFonts w:ascii="Times New Roman" w:hAnsi="Times New Roman" w:cs="Times New Roman"/>
              </w:rPr>
              <w:t xml:space="preserve"> (mg kg</w:t>
            </w:r>
            <w:r w:rsidR="00D151E0" w:rsidRPr="00D151E0">
              <w:rPr>
                <w:rFonts w:ascii="Times New Roman" w:hAnsi="Times New Roman" w:cs="Times New Roman"/>
                <w:vertAlign w:val="superscript"/>
              </w:rPr>
              <w:t>-1</w:t>
            </w:r>
            <w:r w:rsidR="00D151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2262CB54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431F1EDF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1BF0242F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66A8EA60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793453C4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149.15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77E7FCF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7AFA20E8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52.68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68CD5605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869F3D5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-11.13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3BBE915" w14:textId="77777777" w:rsidR="00377832" w:rsidRPr="00C53260" w:rsidRDefault="00377832" w:rsidP="003778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3260">
              <w:rPr>
                <w:rFonts w:ascii="Times New Roman" w:hAnsi="Times New Roman" w:cs="Times New Roman"/>
              </w:rPr>
              <w:t>3.82</w:t>
            </w:r>
          </w:p>
        </w:tc>
      </w:tr>
    </w:tbl>
    <w:p w14:paraId="2C872647" w14:textId="7FB5F053" w:rsidR="00C53260" w:rsidRPr="00C53260" w:rsidRDefault="008E0DE1" w:rsidP="00C53260">
      <w:pPr>
        <w:pStyle w:val="AbstractBodyText"/>
        <w:rPr>
          <w:b/>
          <w:lang w:val="en-GB"/>
        </w:rPr>
      </w:pPr>
      <w:r w:rsidRPr="00CA258B">
        <w:rPr>
          <w:b/>
          <w:lang w:val="en-GB"/>
        </w:rPr>
        <w:t xml:space="preserve">Acknowledgements: </w:t>
      </w:r>
      <w:r w:rsidRPr="00CA258B">
        <w:rPr>
          <w:lang w:val="en-GB"/>
        </w:rPr>
        <w:t xml:space="preserve">First Author gratefully acknowledges receiving funding from programme name </w:t>
      </w:r>
      <w:r w:rsidR="00C46EBA">
        <w:rPr>
          <w:lang w:val="en-GB"/>
        </w:rPr>
        <w:t>(</w:t>
      </w:r>
      <w:r w:rsidR="00C46EBA" w:rsidRPr="00C46EBA">
        <w:rPr>
          <w:lang w:val="en-GB"/>
        </w:rPr>
        <w:t>POR FESR 2014-2020</w:t>
      </w:r>
      <w:r w:rsidR="00C46EBA">
        <w:rPr>
          <w:lang w:val="en-GB"/>
        </w:rPr>
        <w:t>:</w:t>
      </w:r>
      <w:r w:rsidR="00C46EBA" w:rsidRPr="00C46EBA">
        <w:t xml:space="preserve"> </w:t>
      </w:r>
      <w:r w:rsidR="00C46EBA" w:rsidRPr="00C46EBA">
        <w:rPr>
          <w:lang w:val="en-GB"/>
        </w:rPr>
        <w:t>PG/2019/916776</w:t>
      </w:r>
      <w:r w:rsidRPr="00C46EBA">
        <w:rPr>
          <w:lang w:val="en-GB"/>
        </w:rPr>
        <w:t>)</w:t>
      </w:r>
      <w:r w:rsidRPr="00CA258B">
        <w:rPr>
          <w:lang w:val="en-GB"/>
        </w:rPr>
        <w:t>.</w:t>
      </w:r>
    </w:p>
    <w:sectPr w:rsidR="00C53260" w:rsidRPr="00C53260" w:rsidSect="00D308EA">
      <w:headerReference w:type="default" r:id="rId6"/>
      <w:footerReference w:type="default" r:id="rId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8202" w14:textId="77777777" w:rsidR="00DE56AF" w:rsidRDefault="00DE56AF" w:rsidP="001451D5">
      <w:r>
        <w:separator/>
      </w:r>
    </w:p>
  </w:endnote>
  <w:endnote w:type="continuationSeparator" w:id="0">
    <w:p w14:paraId="6CFD60E8" w14:textId="77777777" w:rsidR="00DE56AF" w:rsidRDefault="00DE56AF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a5"/>
      <w:jc w:val="center"/>
    </w:pPr>
    <w:r>
      <w:rPr>
        <w:noProof/>
        <w:lang w:val="en-US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FC3E" w14:textId="77777777" w:rsidR="00DE56AF" w:rsidRDefault="00DE56AF" w:rsidP="001451D5">
      <w:r>
        <w:separator/>
      </w:r>
    </w:p>
  </w:footnote>
  <w:footnote w:type="continuationSeparator" w:id="0">
    <w:p w14:paraId="5630FF39" w14:textId="77777777" w:rsidR="00DE56AF" w:rsidRDefault="00DE56AF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a3"/>
      <w:tabs>
        <w:tab w:val="clear" w:pos="4252"/>
        <w:tab w:val="clear" w:pos="8504"/>
      </w:tabs>
    </w:pPr>
    <w:r>
      <w:rPr>
        <w:noProof/>
        <w:lang w:val="en-US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2539D"/>
    <w:rsid w:val="00027495"/>
    <w:rsid w:val="000F20FA"/>
    <w:rsid w:val="001218E9"/>
    <w:rsid w:val="00122CB9"/>
    <w:rsid w:val="001451D5"/>
    <w:rsid w:val="00172D9B"/>
    <w:rsid w:val="001B06FB"/>
    <w:rsid w:val="001C26F3"/>
    <w:rsid w:val="001E1370"/>
    <w:rsid w:val="001F437F"/>
    <w:rsid w:val="002124FF"/>
    <w:rsid w:val="00272A92"/>
    <w:rsid w:val="002A4BC4"/>
    <w:rsid w:val="002B663A"/>
    <w:rsid w:val="00354A63"/>
    <w:rsid w:val="00376743"/>
    <w:rsid w:val="00377832"/>
    <w:rsid w:val="003B5428"/>
    <w:rsid w:val="003E1EC1"/>
    <w:rsid w:val="00407014"/>
    <w:rsid w:val="004318F6"/>
    <w:rsid w:val="00463CE5"/>
    <w:rsid w:val="004708CE"/>
    <w:rsid w:val="00481112"/>
    <w:rsid w:val="004E1466"/>
    <w:rsid w:val="00571D61"/>
    <w:rsid w:val="005A40A6"/>
    <w:rsid w:val="00613931"/>
    <w:rsid w:val="006203E5"/>
    <w:rsid w:val="00665E2F"/>
    <w:rsid w:val="006A0CCE"/>
    <w:rsid w:val="006E0B1F"/>
    <w:rsid w:val="007257F8"/>
    <w:rsid w:val="00736FAE"/>
    <w:rsid w:val="00740478"/>
    <w:rsid w:val="007908DF"/>
    <w:rsid w:val="007C2F11"/>
    <w:rsid w:val="008000F9"/>
    <w:rsid w:val="00802032"/>
    <w:rsid w:val="008237A8"/>
    <w:rsid w:val="008E0DE1"/>
    <w:rsid w:val="00944069"/>
    <w:rsid w:val="0094510B"/>
    <w:rsid w:val="00993C62"/>
    <w:rsid w:val="009C2C64"/>
    <w:rsid w:val="009C54B5"/>
    <w:rsid w:val="009F576C"/>
    <w:rsid w:val="009F663A"/>
    <w:rsid w:val="00A0797E"/>
    <w:rsid w:val="00A20670"/>
    <w:rsid w:val="00A53D18"/>
    <w:rsid w:val="00B06749"/>
    <w:rsid w:val="00B428FD"/>
    <w:rsid w:val="00B51361"/>
    <w:rsid w:val="00B718F7"/>
    <w:rsid w:val="00BA3B4A"/>
    <w:rsid w:val="00BD3B2F"/>
    <w:rsid w:val="00C17A28"/>
    <w:rsid w:val="00C30803"/>
    <w:rsid w:val="00C46EBA"/>
    <w:rsid w:val="00C53260"/>
    <w:rsid w:val="00C63187"/>
    <w:rsid w:val="00CA79DC"/>
    <w:rsid w:val="00CB4956"/>
    <w:rsid w:val="00CB6516"/>
    <w:rsid w:val="00CC52C2"/>
    <w:rsid w:val="00CF1C0D"/>
    <w:rsid w:val="00D012AE"/>
    <w:rsid w:val="00D151E0"/>
    <w:rsid w:val="00D3056B"/>
    <w:rsid w:val="00D308EA"/>
    <w:rsid w:val="00D5658D"/>
    <w:rsid w:val="00D8583C"/>
    <w:rsid w:val="00DE56AF"/>
    <w:rsid w:val="00E40073"/>
    <w:rsid w:val="00E737DC"/>
    <w:rsid w:val="00EA5404"/>
    <w:rsid w:val="00EB070E"/>
    <w:rsid w:val="00EB1725"/>
    <w:rsid w:val="00EE2BA5"/>
    <w:rsid w:val="00EF1CB1"/>
    <w:rsid w:val="00EF70DC"/>
    <w:rsid w:val="00F3074D"/>
    <w:rsid w:val="00F676DF"/>
    <w:rsid w:val="00FA2478"/>
    <w:rsid w:val="00FC53B4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a4">
    <w:name w:val="页眉 字符"/>
    <w:basedOn w:val="a0"/>
    <w:link w:val="a3"/>
    <w:uiPriority w:val="99"/>
    <w:rsid w:val="001451D5"/>
  </w:style>
  <w:style w:type="paragraph" w:styleId="a5">
    <w:name w:val="footer"/>
    <w:basedOn w:val="a"/>
    <w:link w:val="a6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a6">
    <w:name w:val="页脚 字符"/>
    <w:basedOn w:val="a0"/>
    <w:link w:val="a5"/>
    <w:uiPriority w:val="99"/>
    <w:rsid w:val="001451D5"/>
  </w:style>
  <w:style w:type="paragraph" w:styleId="a7">
    <w:name w:val="Normal (Web)"/>
    <w:basedOn w:val="a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a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a"/>
    <w:rsid w:val="008E0DE1"/>
    <w:pPr>
      <w:spacing w:before="240"/>
      <w:jc w:val="center"/>
    </w:pPr>
    <w:rPr>
      <w:rFonts w:ascii="Times New Roman" w:hAnsi="Times New Roman" w:cs="Times New Roman"/>
      <w:b/>
      <w:lang w:val="en-US" w:eastAsia="zh-CN"/>
    </w:rPr>
  </w:style>
  <w:style w:type="paragraph" w:customStyle="1" w:styleId="Affiliation">
    <w:name w:val="Affiliation"/>
    <w:basedOn w:val="a"/>
    <w:rsid w:val="008E0DE1"/>
    <w:pPr>
      <w:spacing w:before="240"/>
      <w:jc w:val="center"/>
    </w:pPr>
    <w:rPr>
      <w:rFonts w:ascii="Times New Roma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a"/>
    <w:rsid w:val="008E0DE1"/>
    <w:pPr>
      <w:suppressAutoHyphens/>
      <w:spacing w:before="360"/>
      <w:jc w:val="both"/>
    </w:pPr>
    <w:rPr>
      <w:rFonts w:ascii="Times New Roman" w:hAnsi="Times New Roman" w:cs="Times New Roman"/>
      <w:lang w:val="en-US" w:eastAsia="zh-CN"/>
    </w:rPr>
  </w:style>
  <w:style w:type="paragraph" w:customStyle="1" w:styleId="ReferencesTitle">
    <w:name w:val="References Title"/>
    <w:basedOn w:val="a"/>
    <w:rsid w:val="008E0DE1"/>
    <w:pPr>
      <w:spacing w:before="360" w:after="120"/>
    </w:pPr>
    <w:rPr>
      <w:rFonts w:ascii="Times New Roma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a"/>
    <w:rsid w:val="008E0DE1"/>
    <w:pPr>
      <w:spacing w:after="120"/>
      <w:ind w:left="425" w:hanging="425"/>
    </w:pPr>
    <w:rPr>
      <w:rFonts w:ascii="Times New Roman" w:hAnsi="Times New Roman" w:cs="Times New Roman"/>
      <w:sz w:val="22"/>
      <w:lang w:val="en-US" w:eastAsia="zh-CN"/>
    </w:rPr>
  </w:style>
  <w:style w:type="table" w:customStyle="1" w:styleId="1">
    <w:name w:val="网格型1"/>
    <w:basedOn w:val="a1"/>
    <w:next w:val="a8"/>
    <w:uiPriority w:val="39"/>
    <w:rsid w:val="00C53260"/>
    <w:rPr>
      <w:rFonts w:eastAsia="等线"/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5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Xueping Yang</cp:lastModifiedBy>
  <cp:revision>4</cp:revision>
  <dcterms:created xsi:type="dcterms:W3CDTF">2022-04-01T07:36:00Z</dcterms:created>
  <dcterms:modified xsi:type="dcterms:W3CDTF">2022-04-04T08:56:00Z</dcterms:modified>
</cp:coreProperties>
</file>